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F4A" w:rsidRDefault="00983263" w:rsidP="00C63F2E">
      <w:pPr>
        <w:pStyle w:val="NormalWeb"/>
        <w:rPr>
          <w:sz w:val="20"/>
          <w:szCs w:val="20"/>
        </w:rPr>
      </w:pPr>
      <w:r w:rsidRPr="00983263">
        <w:rPr>
          <w:sz w:val="20"/>
          <w:szCs w:val="20"/>
        </w:rPr>
        <w:t xml:space="preserve">Gregory L. </w:t>
      </w:r>
      <w:proofErr w:type="spellStart"/>
      <w:r w:rsidRPr="00983263">
        <w:rPr>
          <w:sz w:val="20"/>
          <w:szCs w:val="20"/>
        </w:rPr>
        <w:t>Doudna</w:t>
      </w:r>
      <w:proofErr w:type="spellEnd"/>
      <w:r w:rsidRPr="00983263">
        <w:rPr>
          <w:sz w:val="20"/>
          <w:szCs w:val="20"/>
        </w:rPr>
        <w:t>, "The Legacy of an Error in Archaeological Interpretation: the Dati</w:t>
      </w:r>
      <w:r>
        <w:rPr>
          <w:sz w:val="20"/>
          <w:szCs w:val="20"/>
        </w:rPr>
        <w:t>ng of the Qumran Cave Scroll De</w:t>
      </w:r>
      <w:r w:rsidRPr="00983263">
        <w:rPr>
          <w:sz w:val="20"/>
          <w:szCs w:val="20"/>
        </w:rPr>
        <w:t xml:space="preserve">posits", in K. </w:t>
      </w:r>
      <w:proofErr w:type="spellStart"/>
      <w:r w:rsidRPr="00983263">
        <w:rPr>
          <w:sz w:val="20"/>
          <w:szCs w:val="20"/>
        </w:rPr>
        <w:t>Galor</w:t>
      </w:r>
      <w:proofErr w:type="spellEnd"/>
      <w:r w:rsidRPr="00983263">
        <w:rPr>
          <w:sz w:val="20"/>
          <w:szCs w:val="20"/>
        </w:rPr>
        <w:t xml:space="preserve">, J.-B. </w:t>
      </w:r>
      <w:proofErr w:type="spellStart"/>
      <w:r w:rsidRPr="00983263">
        <w:rPr>
          <w:sz w:val="20"/>
          <w:szCs w:val="20"/>
        </w:rPr>
        <w:t>Humbert</w:t>
      </w:r>
      <w:proofErr w:type="spellEnd"/>
      <w:r w:rsidRPr="00983263">
        <w:rPr>
          <w:sz w:val="20"/>
          <w:szCs w:val="20"/>
        </w:rPr>
        <w:t xml:space="preserve">, and J. </w:t>
      </w:r>
      <w:proofErr w:type="spellStart"/>
      <w:r w:rsidRPr="00983263">
        <w:rPr>
          <w:sz w:val="20"/>
          <w:szCs w:val="20"/>
        </w:rPr>
        <w:t>Zangenberg</w:t>
      </w:r>
      <w:proofErr w:type="spellEnd"/>
      <w:r w:rsidRPr="00983263">
        <w:rPr>
          <w:sz w:val="20"/>
          <w:szCs w:val="20"/>
        </w:rPr>
        <w:t xml:space="preserve"> (eds.), </w:t>
      </w:r>
      <w:proofErr w:type="gramStart"/>
      <w:r w:rsidRPr="00983263">
        <w:rPr>
          <w:rStyle w:val="Emphasis"/>
          <w:sz w:val="20"/>
          <w:szCs w:val="20"/>
        </w:rPr>
        <w:t>The</w:t>
      </w:r>
      <w:proofErr w:type="gramEnd"/>
      <w:r w:rsidRPr="00983263">
        <w:rPr>
          <w:rStyle w:val="Emphasis"/>
          <w:sz w:val="20"/>
          <w:szCs w:val="20"/>
        </w:rPr>
        <w:t xml:space="preserve"> Site of the Dead Sea Scrolls: Archaeological Interpretations and Debates. Proceedings of a Conference held at Brown University, November 17-19, 2002</w:t>
      </w:r>
      <w:r w:rsidRPr="00983263">
        <w:rPr>
          <w:sz w:val="20"/>
          <w:szCs w:val="20"/>
        </w:rPr>
        <w:t xml:space="preserve"> (Leiden: Brill, 2006), pp. 147-57. </w:t>
      </w:r>
    </w:p>
    <w:p w:rsidR="00C63F2E" w:rsidRPr="00C63F2E" w:rsidRDefault="00C63F2E" w:rsidP="00C63F2E">
      <w:pPr>
        <w:pStyle w:val="NormalWeb"/>
        <w:rPr>
          <w:sz w:val="20"/>
          <w:szCs w:val="20"/>
        </w:rPr>
      </w:pPr>
    </w:p>
    <w:p w:rsidR="00983263" w:rsidRDefault="007C29A0" w:rsidP="00983263">
      <w:pPr>
        <w:pStyle w:val="NormalWeb"/>
        <w:jc w:val="center"/>
        <w:rPr>
          <w:b/>
          <w:bCs/>
        </w:rPr>
      </w:pPr>
      <w:r w:rsidRPr="00983263">
        <w:rPr>
          <w:b/>
          <w:bCs/>
        </w:rPr>
        <w:t xml:space="preserve">The Legacy of an Error in Archaeological Interpretation: </w:t>
      </w:r>
    </w:p>
    <w:p w:rsidR="00983263" w:rsidRDefault="007C29A0" w:rsidP="00166F4A">
      <w:pPr>
        <w:pStyle w:val="NormalWeb"/>
        <w:jc w:val="center"/>
        <w:rPr>
          <w:b/>
          <w:bCs/>
        </w:rPr>
      </w:pPr>
      <w:proofErr w:type="gramStart"/>
      <w:r w:rsidRPr="00983263">
        <w:rPr>
          <w:b/>
          <w:bCs/>
        </w:rPr>
        <w:t>the</w:t>
      </w:r>
      <w:proofErr w:type="gramEnd"/>
      <w:r w:rsidRPr="00983263">
        <w:rPr>
          <w:b/>
          <w:bCs/>
        </w:rPr>
        <w:t xml:space="preserve"> Dating of </w:t>
      </w:r>
      <w:r w:rsidR="00983263" w:rsidRPr="00983263">
        <w:rPr>
          <w:b/>
          <w:bCs/>
        </w:rPr>
        <w:t>the Qumran Cave Scroll Deposits</w:t>
      </w:r>
    </w:p>
    <w:p w:rsidR="00983263" w:rsidRPr="00983263" w:rsidRDefault="00983263" w:rsidP="00983263">
      <w:pPr>
        <w:pStyle w:val="NormalWeb"/>
        <w:jc w:val="center"/>
        <w:rPr>
          <w:b/>
          <w:bCs/>
        </w:rPr>
      </w:pPr>
      <w:r>
        <w:rPr>
          <w:b/>
          <w:bCs/>
        </w:rPr>
        <w:t xml:space="preserve">Gregory L. </w:t>
      </w:r>
      <w:proofErr w:type="spellStart"/>
      <w:r>
        <w:rPr>
          <w:b/>
          <w:bCs/>
        </w:rPr>
        <w:t>Doudna</w:t>
      </w:r>
      <w:proofErr w:type="spellEnd"/>
    </w:p>
    <w:p w:rsidR="00C63F2E" w:rsidRDefault="00C63F2E" w:rsidP="007C29A0">
      <w:pPr>
        <w:pStyle w:val="NormalWeb"/>
        <w:rPr>
          <w:rFonts w:asciiTheme="minorHAnsi" w:eastAsiaTheme="minorHAnsi" w:hAnsiTheme="minorHAnsi" w:cstheme="minorBidi"/>
          <w:sz w:val="22"/>
          <w:szCs w:val="22"/>
          <w:lang w:bidi="ar-SA"/>
        </w:rPr>
      </w:pPr>
    </w:p>
    <w:p w:rsidR="007C29A0" w:rsidRDefault="007C29A0" w:rsidP="007C29A0">
      <w:pPr>
        <w:pStyle w:val="NormalWeb"/>
      </w:pPr>
      <w:r>
        <w:t>It is difficult to name a single statement concerning the texts at Qumran which has had more complete scholarly consensus during the past five decades than that the Qumran text deposits either occurred or ended at the time of the First Revolt, late in the first century C.E. It is useful to trace the story of how this came to be and to raise the question of whether this "fact," which for so long has been thought to be a fact, is, in fact, a fact.</w:t>
      </w:r>
    </w:p>
    <w:p w:rsidR="007C29A0" w:rsidRDefault="007C29A0" w:rsidP="007C29A0">
      <w:pPr>
        <w:pStyle w:val="NormalWeb"/>
      </w:pPr>
      <w:r>
        <w:t>Before the excavation of Qumran, all of the relevant archaeologists—de Vaux, Harding, Albright, etc.—were in agreement that the Cave 1 scrolls near Qumran were no later than mid-first century B.C.E., based on what the archaeologists said was a late Hellenistic dating of the scrolls jars.</w:t>
      </w:r>
    </w:p>
    <w:p w:rsidR="007C29A0" w:rsidRDefault="007C29A0" w:rsidP="007C29A0">
      <w:pPr>
        <w:pStyle w:val="NormalWeb"/>
      </w:pPr>
      <w:r>
        <w:t>Thus, Albright (1949):</w:t>
      </w:r>
    </w:p>
    <w:p w:rsidR="007C29A0" w:rsidRDefault="003052CC" w:rsidP="007C29A0">
      <w:pPr>
        <w:pStyle w:val="NormalWeb"/>
        <w:ind w:left="720"/>
      </w:pPr>
      <w:r>
        <w:t>It cannot be too strongly emphasized that the bulk of the pottery [in Cave 1] (all but those few Roman pieces) consists of absolutely homogenous jars, bowls (made specifically to cover the jars), and lamps, whose pre-</w:t>
      </w:r>
      <w:proofErr w:type="spellStart"/>
      <w:r>
        <w:t>Herodian</w:t>
      </w:r>
      <w:proofErr w:type="spellEnd"/>
      <w:r>
        <w:t xml:space="preserve"> date in the last two centuries B.C. is beyond dispute.</w:t>
      </w:r>
      <w:r>
        <w:rPr>
          <w:rStyle w:val="FootnoteReference"/>
        </w:rPr>
        <w:footnoteReference w:id="1"/>
      </w:r>
    </w:p>
    <w:p w:rsidR="007C29A0" w:rsidRDefault="003052CC" w:rsidP="007C29A0">
      <w:pPr>
        <w:pStyle w:val="NormalWeb"/>
      </w:pPr>
      <w:proofErr w:type="gramStart"/>
      <w:r>
        <w:t>and</w:t>
      </w:r>
      <w:proofErr w:type="gramEnd"/>
      <w:r>
        <w:t xml:space="preserve"> Sellers (1949):</w:t>
      </w:r>
    </w:p>
    <w:p w:rsidR="003052CC" w:rsidRDefault="003052CC" w:rsidP="003052CC">
      <w:pPr>
        <w:pStyle w:val="NormalWeb"/>
        <w:ind w:left="720"/>
      </w:pPr>
      <w:r>
        <w:t>[T]he archaeological evidence [excavation of Cave 1] confirms the views of those who had pronounced the manuscripts pre-Christian from the epigraphic and literary evidence. They were deposited in the cave not later than the first century B.C.</w:t>
      </w:r>
      <w:r>
        <w:rPr>
          <w:rStyle w:val="FootnoteReference"/>
        </w:rPr>
        <w:footnoteReference w:id="2"/>
      </w:r>
    </w:p>
    <w:p w:rsidR="007C29A0" w:rsidRDefault="003052CC" w:rsidP="00C63F2E">
      <w:pPr>
        <w:pStyle w:val="NormalWeb"/>
        <w:keepNext/>
      </w:pPr>
      <w:proofErr w:type="gramStart"/>
      <w:r>
        <w:lastRenderedPageBreak/>
        <w:t>and</w:t>
      </w:r>
      <w:proofErr w:type="gramEnd"/>
      <w:r>
        <w:t xml:space="preserve"> </w:t>
      </w:r>
      <w:proofErr w:type="spellStart"/>
      <w:r>
        <w:t>Sukenik</w:t>
      </w:r>
      <w:proofErr w:type="spellEnd"/>
      <w:r>
        <w:t xml:space="preserve"> (1955):</w:t>
      </w:r>
    </w:p>
    <w:p w:rsidR="003052CC" w:rsidRDefault="003052CC" w:rsidP="003052CC">
      <w:pPr>
        <w:pStyle w:val="NormalWeb"/>
        <w:ind w:left="720"/>
      </w:pPr>
      <w:r>
        <w:t xml:space="preserve">On the evidence of the </w:t>
      </w:r>
      <w:proofErr w:type="spellStart"/>
      <w:r>
        <w:t>sherds</w:t>
      </w:r>
      <w:proofErr w:type="spellEnd"/>
      <w:r>
        <w:t xml:space="preserve"> it can be determined that the books were deposited at a date no later than the first century B.C.E.</w:t>
      </w:r>
      <w:r>
        <w:rPr>
          <w:rStyle w:val="FootnoteReference"/>
        </w:rPr>
        <w:footnoteReference w:id="3"/>
      </w:r>
    </w:p>
    <w:p w:rsidR="007C29A0" w:rsidRDefault="00D56C07" w:rsidP="007C29A0">
      <w:pPr>
        <w:pStyle w:val="NormalWeb"/>
      </w:pPr>
      <w:r>
        <w:t>As Albright stated, the “pre-</w:t>
      </w:r>
      <w:proofErr w:type="spellStart"/>
      <w:r>
        <w:t>Herodian</w:t>
      </w:r>
      <w:proofErr w:type="spellEnd"/>
      <w:r>
        <w:t xml:space="preserve"> date in the last two centuries B.C. is beyond dispute.” This verdict of the archaeologists had been independently confirmed (so it seemed) from paleography. The leading authority on Jewish scripts at the time, Solomon </w:t>
      </w:r>
      <w:proofErr w:type="spellStart"/>
      <w:r>
        <w:t>Birnbaum</w:t>
      </w:r>
      <w:proofErr w:type="spellEnd"/>
      <w:r>
        <w:t>, dated all of the published Cave 1 texts to the second and first centuries B.C.E. through careful paleographical analysis, with none dating later than mid-first century B.C.E.</w:t>
      </w:r>
      <w:r>
        <w:rPr>
          <w:rStyle w:val="FootnoteReference"/>
        </w:rPr>
        <w:footnoteReference w:id="4"/>
      </w:r>
      <w:r>
        <w:t xml:space="preserve"> But this original dating established from the twin disciplines of archaeology and paleography was changed in response to the first excavation of Qumran in 1951.</w:t>
      </w:r>
    </w:p>
    <w:p w:rsidR="00D56C07" w:rsidRDefault="00D56C07" w:rsidP="007C29A0">
      <w:pPr>
        <w:pStyle w:val="NormalWeb"/>
      </w:pPr>
      <w:r>
        <w:t>The 1951 excavation led to the conclusion, later shown to be mistaken, that Qumran had only a single habitation in the first century C.E., which came to an end with the First Revolt. In that excavation, de Vaux found a scroll jar buried in the floor of locus 2. There were first century C.E. coins and pottery on the floor, all of which were covered over by a destruction layer from a fire at the time of the First Revolt. The paved floor was cracked around the top of the buried jar, meaning coins could have fallen underneath the floor.</w:t>
      </w:r>
      <w:r>
        <w:rPr>
          <w:rStyle w:val="FootnoteReference"/>
        </w:rPr>
        <w:footnoteReference w:id="5"/>
      </w:r>
      <w:r w:rsidR="004A25B6">
        <w:t xml:space="preserve"> Because of the first century C.E. coins, de Vaux concluded that the locus 2 scroll jar was dated to the first century C.E. De Vaux reasoned </w:t>
      </w:r>
      <w:r w:rsidR="00983263">
        <w:t xml:space="preserve">//148// </w:t>
      </w:r>
      <w:r w:rsidR="004A25B6">
        <w:t xml:space="preserve">that the same kind of jars in Cave 1, and the scrolls which had been put in them, must also have been deposited in the first century C.E. De Vaux forthrightly said to </w:t>
      </w:r>
      <w:r w:rsidR="00444F86">
        <w:t xml:space="preserve">the world, “je me </w:t>
      </w:r>
      <w:proofErr w:type="spellStart"/>
      <w:r w:rsidR="00444F86">
        <w:t>suis</w:t>
      </w:r>
      <w:proofErr w:type="spellEnd"/>
      <w:r w:rsidR="00444F86">
        <w:t xml:space="preserve"> </w:t>
      </w:r>
      <w:proofErr w:type="spellStart"/>
      <w:r w:rsidR="00444F86">
        <w:t>trompé</w:t>
      </w:r>
      <w:proofErr w:type="spellEnd"/>
      <w:r w:rsidR="00444F86">
        <w:t>” (“I was wrong”)</w:t>
      </w:r>
      <w:r w:rsidR="004A25B6">
        <w:t>, in a famous announcement in Paris in 1952.</w:t>
      </w:r>
      <w:r w:rsidR="004A25B6">
        <w:rPr>
          <w:rStyle w:val="FootnoteReference"/>
        </w:rPr>
        <w:footnoteReference w:id="6"/>
      </w:r>
      <w:r>
        <w:t xml:space="preserve"> </w:t>
      </w:r>
      <w:r w:rsidR="004A25B6">
        <w:t>This correction was widely reported.</w:t>
      </w:r>
      <w:r w:rsidR="004A25B6">
        <w:rPr>
          <w:rStyle w:val="FootnoteReference"/>
        </w:rPr>
        <w:footnoteReference w:id="7"/>
      </w:r>
      <w:r w:rsidR="004A25B6">
        <w:t xml:space="preserve"> G. </w:t>
      </w:r>
      <w:proofErr w:type="spellStart"/>
      <w:r w:rsidR="004A25B6">
        <w:t>Lankester</w:t>
      </w:r>
      <w:proofErr w:type="spellEnd"/>
      <w:r w:rsidR="004A25B6">
        <w:t xml:space="preserve"> Harding, the Jordanian director of antiquities, stated definitively in the first DJD volume in 1955: “Excavation of the settlement at Khirbet </w:t>
      </w:r>
      <w:proofErr w:type="spellStart"/>
      <w:r w:rsidR="004A25B6">
        <w:t>Qumrân</w:t>
      </w:r>
      <w:proofErr w:type="spellEnd"/>
      <w:r w:rsidR="004A25B6">
        <w:t xml:space="preserve"> has </w:t>
      </w:r>
      <w:r w:rsidR="004A25B6">
        <w:lastRenderedPageBreak/>
        <w:t>established beyond doubt that all of the material was deposited in these caves in the late first century A.D.”</w:t>
      </w:r>
      <w:r w:rsidR="004A25B6">
        <w:rPr>
          <w:rStyle w:val="FootnoteReference"/>
        </w:rPr>
        <w:footnoteReference w:id="8"/>
      </w:r>
    </w:p>
    <w:p w:rsidR="003355CC" w:rsidRDefault="003355CC" w:rsidP="007C29A0">
      <w:pPr>
        <w:pStyle w:val="NormalWeb"/>
      </w:pPr>
      <w:r>
        <w:t xml:space="preserve">However, during the second excavation season at Qumran in 1953, the extensive habitation period of the earlier century at Qumran became known. Period I, subsequently divided by de Vaux into </w:t>
      </w:r>
      <w:proofErr w:type="spellStart"/>
      <w:r>
        <w:t>Ia</w:t>
      </w:r>
      <w:proofErr w:type="spellEnd"/>
      <w:r>
        <w:t xml:space="preserve"> and </w:t>
      </w:r>
      <w:proofErr w:type="spellStart"/>
      <w:r>
        <w:t>Ib</w:t>
      </w:r>
      <w:proofErr w:type="spellEnd"/>
      <w:r>
        <w:t>, ended in a destruction of the first century B.C.E. De Vaux now realized (after this second season at Qumran in 1953) that the floor of locus 2 had actually been built in the earlier period, of the first century B.C.E. The room had been cleared out and the same floor reused in Period II.</w:t>
      </w:r>
      <w:r>
        <w:rPr>
          <w:rStyle w:val="FootnoteReference"/>
        </w:rPr>
        <w:footnoteReference w:id="9"/>
      </w:r>
      <w:r w:rsidR="00EB29C7">
        <w:t xml:space="preserve"> That is why coins and pottery from the first century C.E. were found on top of the floor.</w:t>
      </w:r>
      <w:r w:rsidR="00EB29C7">
        <w:rPr>
          <w:rStyle w:val="FootnoteReference"/>
        </w:rPr>
        <w:footnoteReference w:id="10"/>
      </w:r>
      <w:r w:rsidR="00EB29C7">
        <w:t xml:space="preserve"> This ought to have raised the question of whether the scroll jar buried in the locus 2 floor had been deposited in the earlier period and then inherited along with the floor, by the people who used that room in Period II. But the original dating of the locus 2 jar remained unchanged and unquestioned.</w:t>
      </w:r>
    </w:p>
    <w:p w:rsidR="00EB29C7" w:rsidRDefault="00EB29C7" w:rsidP="007C29A0">
      <w:pPr>
        <w:pStyle w:val="NormalWeb"/>
      </w:pPr>
      <w:r>
        <w:t>Could de Vaux have been mistaken regarding the locus 2 jar? Yes, because it is not certain that this jar was deposited in Period II. However, de Vaux thought it was. That was how, from the very beginning, the scroll deposits were dated to the First Revolt.</w:t>
      </w:r>
    </w:p>
    <w:p w:rsidR="00EB29C7" w:rsidRDefault="00EB29C7" w:rsidP="007C29A0">
      <w:pPr>
        <w:pStyle w:val="NormalWeb"/>
      </w:pPr>
      <w:r>
        <w:rPr>
          <w:i/>
          <w:iCs/>
        </w:rPr>
        <w:t>Dating of Scroll Jars at Jericho</w:t>
      </w:r>
    </w:p>
    <w:p w:rsidR="00EB29C7" w:rsidRDefault="00EB29C7" w:rsidP="007C29A0">
      <w:pPr>
        <w:pStyle w:val="NormalWeb"/>
      </w:pPr>
      <w:r>
        <w:t xml:space="preserve">The importance to the archaeology of Qumran of the recent 2002 publication of the pottery of the </w:t>
      </w:r>
      <w:proofErr w:type="spellStart"/>
      <w:r>
        <w:t>Netzer</w:t>
      </w:r>
      <w:proofErr w:type="spellEnd"/>
      <w:r>
        <w:t xml:space="preserve"> excavations at Jericho by Rachel Bar-Nathan can hardly be overemphasized, given the proximity of the two sites and that identical pottery types were found at both sites.</w:t>
      </w:r>
      <w:r>
        <w:rPr>
          <w:rStyle w:val="FootnoteReference"/>
        </w:rPr>
        <w:footnoteReference w:id="11"/>
      </w:r>
      <w:r>
        <w:t xml:space="preserve"> The excavation and publication procedures followed by the Jericho excavators, however, were more technically precise than de Vaux’s of the 1950s. In fact, methodologically, Bar-Nathan’s volume on the finds at Jericho must be considered more accurate and reliable for dating the Qumran pottery than the preliminary reports on the Qumran pottery currently available.</w:t>
      </w:r>
    </w:p>
    <w:p w:rsidR="00EB29C7" w:rsidRDefault="00EB29C7" w:rsidP="007C29A0">
      <w:pPr>
        <w:pStyle w:val="NormalWeb"/>
      </w:pPr>
      <w:r>
        <w:lastRenderedPageBreak/>
        <w:t>If the distinctive “scroll jars” associated with the text deposits in the caves near Qumran were used solely for scroll deposits, the date of such a jar could date the scroll deposits. On the other hand, if these jars had other functions unrelated to scroll deposits, as both de Vaux and Harding came to think,</w:t>
      </w:r>
      <w:r>
        <w:rPr>
          <w:rStyle w:val="FootnoteReference"/>
        </w:rPr>
        <w:footnoteReference w:id="12"/>
      </w:r>
      <w:r w:rsidR="00B57BF3">
        <w:t xml:space="preserve"> then dates of such jars at the site </w:t>
      </w:r>
      <w:r w:rsidR="00983263">
        <w:t xml:space="preserve">//149// </w:t>
      </w:r>
      <w:r w:rsidR="00B57BF3">
        <w:t>of Qumran would not necessarily date scroll deposits, since scroll deposits could have occurred during only part of the total range of time these kinds of jars were in use.</w:t>
      </w:r>
    </w:p>
    <w:p w:rsidR="00B57BF3" w:rsidRDefault="00B57BF3" w:rsidP="007C29A0">
      <w:pPr>
        <w:pStyle w:val="NormalWeb"/>
      </w:pPr>
      <w:r>
        <w:t>“Scroll jars” refer here to the distinctive wide-mouthed cylindrical jars found in large numbers associated with scroll deposits in the outlying caves around Qumran. The Qumran scroll jars are of two basic types: the most common being the tall, straight, cylindrical “classic” scroll jar; the other is a non-ovoid, often shorter cylindrical jar with rounded shoulders.</w:t>
      </w:r>
      <w:r>
        <w:rPr>
          <w:rStyle w:val="FootnoteReference"/>
        </w:rPr>
        <w:footnoteReference w:id="13"/>
      </w:r>
      <w:r>
        <w:t xml:space="preserve"> At Jericho, the first of these—the “classic” Qumran scroll jar—is Bar-Nathan’s Type J-SJ2B. The second kind of Qumran “scroll jar”—the shorter jar with rounded shoulders—is not represented by any of Bar-Nathan’s types at Jericho and seems to be unattested at any site other than Qumran.</w:t>
      </w:r>
      <w:r>
        <w:rPr>
          <w:rStyle w:val="FootnoteReference"/>
        </w:rPr>
        <w:footnoteReference w:id="14"/>
      </w:r>
      <w:r>
        <w:t xml:space="preserve"> The “classic” Qumran scroll jar—Bar-Nathan’s Type 2B—is only a narrow slice of a larger family of related jar types (2A, 2C, 2D, etc.) which are not Qumran scroll jars.</w:t>
      </w:r>
      <w:r>
        <w:rPr>
          <w:rStyle w:val="FootnoteReference"/>
        </w:rPr>
        <w:footnoteReference w:id="15"/>
      </w:r>
      <w:r w:rsidR="00ED3AED">
        <w:t xml:space="preserve"> Bar-Nathan names the entire family of the SJ2 types as “‘</w:t>
      </w:r>
      <w:proofErr w:type="spellStart"/>
      <w:r w:rsidR="00ED3AED">
        <w:t>Genizah</w:t>
      </w:r>
      <w:proofErr w:type="spellEnd"/>
      <w:r w:rsidR="00ED3AED">
        <w:t>’ or ‘Archive’ Storage Jar[s],”</w:t>
      </w:r>
      <w:r w:rsidR="00ED3AED">
        <w:rPr>
          <w:rStyle w:val="FootnoteReference"/>
        </w:rPr>
        <w:footnoteReference w:id="16"/>
      </w:r>
      <w:r w:rsidR="00ED3AED">
        <w:t xml:space="preserve"> but the only member of this group of Jericho jars which is a Qumran scroll jar is 2B.</w:t>
      </w:r>
    </w:p>
    <w:p w:rsidR="00ED3AED" w:rsidRDefault="00ED3AED" w:rsidP="007C29A0">
      <w:pPr>
        <w:pStyle w:val="NormalWeb"/>
      </w:pPr>
      <w:r>
        <w:t>From this family of wide-mouthed storage jars at Jericho, Bar-Nathan cites types 2A, 2B, 2C, and 2D as present at Jericho in the first century B.C.E. Of these, Bar-Nathan reports that only 2C/2D continued at Jericho into the first century C.E.:</w:t>
      </w:r>
    </w:p>
    <w:p w:rsidR="00ED3AED" w:rsidRDefault="00ED3AED" w:rsidP="00ED3AED">
      <w:pPr>
        <w:pStyle w:val="NormalWeb"/>
        <w:ind w:left="720"/>
      </w:pPr>
      <w:r>
        <w:t xml:space="preserve">Three types of storage jars from the reign of Herod the Great continued into the first century C.E.: J-SJ2C/D, the small, unique storage jar that gradually ceased to be </w:t>
      </w:r>
      <w:r>
        <w:lastRenderedPageBreak/>
        <w:t>produced, apparently during the first century C.E.; J-SJ7B, the ridge-necked jar [. . .] and J-SJ9, the bell-shaped jar.</w:t>
      </w:r>
      <w:r>
        <w:rPr>
          <w:rStyle w:val="FootnoteReference"/>
        </w:rPr>
        <w:footnoteReference w:id="17"/>
      </w:r>
    </w:p>
    <w:p w:rsidR="00ED3AED" w:rsidRDefault="000D4087" w:rsidP="007C29A0">
      <w:pPr>
        <w:pStyle w:val="NormalWeb"/>
      </w:pPr>
      <w:r>
        <w:t>That is, there is no mention of a Qumran scroll jar—Type 2B—continuing into the first century C.E. at Jericho.</w:t>
      </w:r>
    </w:p>
    <w:p w:rsidR="000D4087" w:rsidRDefault="000D4087" w:rsidP="007C29A0">
      <w:pPr>
        <w:pStyle w:val="NormalWeb"/>
      </w:pPr>
      <w:r>
        <w:t xml:space="preserve">In addition to the non-scroll jars which continued to be produced into the first century C.E. from the previous century, Bar-Nathan cites five new types of jars which began in the first century C.E. at Jericho. None of the new types produced at Jericho in the first century C.E., </w:t>
      </w:r>
      <w:proofErr w:type="gramStart"/>
      <w:r>
        <w:t>nor</w:t>
      </w:r>
      <w:proofErr w:type="gramEnd"/>
      <w:r>
        <w:t xml:space="preserve"> any of the older types which continued to be produced into the first century C.E., are Qumran scroll jars. Only one of the Jericho SJ2 </w:t>
      </w:r>
      <w:proofErr w:type="gramStart"/>
      <w:r>
        <w:t>family</w:t>
      </w:r>
      <w:proofErr w:type="gramEnd"/>
      <w:r>
        <w:t xml:space="preserve"> of jars—2B—is actually a Qumran scroll jar. The other related Jericho types are not associated with scroll deposits at Qumran. This clarification of terminology is critical to avoid confusion.</w:t>
      </w:r>
    </w:p>
    <w:p w:rsidR="00983263" w:rsidRDefault="000D4087" w:rsidP="00A83CCA">
      <w:pPr>
        <w:pStyle w:val="NormalWeb"/>
      </w:pPr>
      <w:r>
        <w:t>Bar-Nathan reports only one 2B jar found at Jericho</w:t>
      </w:r>
      <w:r w:rsidR="00397F54">
        <w:t>, which was found in a context dated 31-15 B.C.E.</w:t>
      </w:r>
      <w:r w:rsidR="00397F54">
        <w:rPr>
          <w:rStyle w:val="FootnoteReference"/>
        </w:rPr>
        <w:footnoteReference w:id="18"/>
      </w:r>
      <w:r w:rsidR="00397F54">
        <w:t xml:space="preserve"> </w:t>
      </w:r>
      <w:proofErr w:type="gramStart"/>
      <w:r w:rsidR="00397F54">
        <w:t>That</w:t>
      </w:r>
      <w:proofErr w:type="gramEnd"/>
      <w:r w:rsidR="00397F54">
        <w:t xml:space="preserve"> date either is contemporary with the end of Qumran’s Period </w:t>
      </w:r>
      <w:proofErr w:type="spellStart"/>
      <w:r w:rsidR="00397F54">
        <w:t>Ib</w:t>
      </w:r>
      <w:proofErr w:type="spellEnd"/>
      <w:r w:rsidR="00397F54">
        <w:t xml:space="preserve"> or very soon after, depending on which theory one follows for the end of this period.</w:t>
      </w:r>
      <w:r w:rsidR="00397F54">
        <w:rPr>
          <w:rStyle w:val="FootnoteReference"/>
        </w:rPr>
        <w:footnoteReference w:id="19"/>
      </w:r>
      <w:r w:rsidR="00A83CCA">
        <w:t xml:space="preserve"> </w:t>
      </w:r>
      <w:r w:rsidR="00983263">
        <w:t xml:space="preserve">//150// </w:t>
      </w:r>
    </w:p>
    <w:p w:rsidR="00397F54" w:rsidRDefault="00397F54" w:rsidP="00397F54">
      <w:pPr>
        <w:pStyle w:val="NormalWeb"/>
      </w:pPr>
      <w:r>
        <w:t>Bar-Nathan notes that scroll jars could have been in use at Qumran and the surrounding caves earlier than the first appearance of the same type at Jericho.</w:t>
      </w:r>
      <w:r>
        <w:rPr>
          <w:rStyle w:val="FootnoteReference"/>
        </w:rPr>
        <w:footnoteReference w:id="20"/>
      </w:r>
      <w:r>
        <w:t xml:space="preserve"> On the other hand, Qumran Period </w:t>
      </w:r>
      <w:proofErr w:type="spellStart"/>
      <w:r>
        <w:t>Ib</w:t>
      </w:r>
      <w:proofErr w:type="spellEnd"/>
      <w:r>
        <w:t xml:space="preserve"> may have continued into the reign of Herod the Great and be contemporary with the scroll jar at Jericho. In either case, the single exemplar of 2B at Jericho</w:t>
      </w:r>
      <w:r w:rsidR="00832C3C">
        <w:t xml:space="preserve"> is associated with Period </w:t>
      </w:r>
      <w:proofErr w:type="spellStart"/>
      <w:r w:rsidR="00832C3C">
        <w:t>Ib</w:t>
      </w:r>
      <w:proofErr w:type="spellEnd"/>
      <w:r w:rsidR="00832C3C">
        <w:t xml:space="preserve"> at Qumran, because the location at Jericho where the jar was found—Pool 176 (31-15 B.C.E.)—is the same location at Jericho in which were found bowls identical to hundreds of bowls from locus 89 of Qumran Period Ib.</w:t>
      </w:r>
      <w:r w:rsidR="00832C3C">
        <w:rPr>
          <w:rStyle w:val="FootnoteReference"/>
        </w:rPr>
        <w:footnoteReference w:id="21"/>
      </w:r>
      <w:r w:rsidR="00832C3C">
        <w:t xml:space="preserve"> Nothing in Bar-Nathan’s publication of the Jericho data suggests the existence at Jericho of a Qumran-type scroll jar in the first century C.E., contemporary with Qumran Period II.</w:t>
      </w:r>
    </w:p>
    <w:p w:rsidR="00832C3C" w:rsidRDefault="00832C3C" w:rsidP="00166F4A">
      <w:pPr>
        <w:pStyle w:val="NormalWeb"/>
        <w:keepNext/>
      </w:pPr>
      <w:r>
        <w:rPr>
          <w:i/>
          <w:iCs/>
        </w:rPr>
        <w:lastRenderedPageBreak/>
        <w:t>Other Dead Sea sites</w:t>
      </w:r>
    </w:p>
    <w:p w:rsidR="00832C3C" w:rsidRDefault="00832C3C" w:rsidP="00166F4A">
      <w:pPr>
        <w:pStyle w:val="NormalWeb"/>
      </w:pPr>
      <w:r>
        <w:t>In agreement with the picture at Jericho, no Qumran-type scroll jars are known from first century C.E. contexts at ‘</w:t>
      </w:r>
      <w:proofErr w:type="spellStart"/>
      <w:r>
        <w:t>Ain</w:t>
      </w:r>
      <w:proofErr w:type="spellEnd"/>
      <w:r>
        <w:t xml:space="preserve"> </w:t>
      </w:r>
      <w:proofErr w:type="spellStart"/>
      <w:r>
        <w:t>Feshkha</w:t>
      </w:r>
      <w:proofErr w:type="spellEnd"/>
      <w:r>
        <w:t>, ‘</w:t>
      </w:r>
      <w:proofErr w:type="spellStart"/>
      <w:r>
        <w:t>Ain</w:t>
      </w:r>
      <w:proofErr w:type="spellEnd"/>
      <w:r>
        <w:t xml:space="preserve"> el-</w:t>
      </w:r>
      <w:proofErr w:type="spellStart"/>
      <w:r>
        <w:t>Ghuweir</w:t>
      </w:r>
      <w:proofErr w:type="spellEnd"/>
      <w:r>
        <w:t>, ‘En-</w:t>
      </w:r>
      <w:proofErr w:type="spellStart"/>
      <w:r>
        <w:t>Gedi</w:t>
      </w:r>
      <w:proofErr w:type="spellEnd"/>
      <w:r>
        <w:t>, Masada, or any other Dead Sea site.</w:t>
      </w:r>
      <w:r>
        <w:rPr>
          <w:rStyle w:val="FootnoteReference"/>
        </w:rPr>
        <w:footnoteReference w:id="22"/>
      </w:r>
    </w:p>
    <w:p w:rsidR="00832C3C" w:rsidRDefault="00832C3C" w:rsidP="00397F54">
      <w:pPr>
        <w:pStyle w:val="NormalWeb"/>
        <w:rPr>
          <w:i/>
          <w:iCs/>
        </w:rPr>
      </w:pPr>
      <w:r>
        <w:rPr>
          <w:i/>
          <w:iCs/>
        </w:rPr>
        <w:t>Scroll jars at Qumran</w:t>
      </w:r>
    </w:p>
    <w:p w:rsidR="00832C3C" w:rsidRDefault="00832C3C" w:rsidP="00397F54">
      <w:pPr>
        <w:pStyle w:val="NormalWeb"/>
      </w:pPr>
      <w:r>
        <w:t>During at least the first two seasons of excavation at Qumran, de Vaux thought all scroll jars at Qumran were Period II (and none earlier).</w:t>
      </w:r>
      <w:r>
        <w:rPr>
          <w:rStyle w:val="FootnoteReference"/>
        </w:rPr>
        <w:footnoteReference w:id="23"/>
      </w:r>
      <w:r w:rsidR="00562E16">
        <w:t xml:space="preserve"> At a later stage—sometime between 1954 and 1959—de Vaux amended this (though without saying why), stating that scroll jars were in use at Qumran in both Period </w:t>
      </w:r>
      <w:proofErr w:type="spellStart"/>
      <w:r w:rsidR="00562E16">
        <w:t>Ib</w:t>
      </w:r>
      <w:proofErr w:type="spellEnd"/>
      <w:r w:rsidR="00562E16">
        <w:t xml:space="preserve"> and Period II.</w:t>
      </w:r>
      <w:r w:rsidR="00562E16">
        <w:rPr>
          <w:rStyle w:val="FootnoteReference"/>
        </w:rPr>
        <w:footnoteReference w:id="24"/>
      </w:r>
      <w:r w:rsidR="00A83CCA">
        <w:t xml:space="preserve"> But, was he correct in his </w:t>
      </w:r>
      <w:r w:rsidR="00562E16">
        <w:t>claim that there were Period II scroll jars at Qumran? In fact, de Vaux’s claim of Period II scroll jars cannot be verified from his published data.</w:t>
      </w:r>
    </w:p>
    <w:p w:rsidR="00F24BA3" w:rsidRDefault="00562E16" w:rsidP="00562E16">
      <w:pPr>
        <w:pStyle w:val="NormalWeb"/>
      </w:pPr>
      <w:r>
        <w:t>De Vaux’s mistaken basis for dating the locus 2 scroll jar uncovered in 1951 has been noted. Another example: during the second Qumran excavation season in 1953, de Vaux found a scroll jar buried at locus 45, in the southeastern pottery annex. He published this jar in 1954 and identified it as being from Period II.</w:t>
      </w:r>
      <w:r>
        <w:rPr>
          <w:rStyle w:val="FootnoteReference"/>
        </w:rPr>
        <w:footnoteReference w:id="25"/>
      </w:r>
      <w:r>
        <w:t xml:space="preserve"> </w:t>
      </w:r>
      <w:r w:rsidR="00F24BA3">
        <w:t xml:space="preserve">De Vaux mistakenly assumed at the time, however, that the southeastern pottery annex was in operation only during Period II. Later, he realized the southeastern pottery annex operated in both Periods </w:t>
      </w:r>
      <w:proofErr w:type="spellStart"/>
      <w:r w:rsidR="00F24BA3">
        <w:t>Ib</w:t>
      </w:r>
      <w:proofErr w:type="spellEnd"/>
      <w:r w:rsidR="00F24BA3">
        <w:t xml:space="preserve"> and II, and he published a correction on this point in 1956.</w:t>
      </w:r>
      <w:r w:rsidR="00F24BA3">
        <w:rPr>
          <w:rStyle w:val="FootnoteReference"/>
        </w:rPr>
        <w:footnoteReference w:id="26"/>
      </w:r>
      <w:r w:rsidR="00F24BA3">
        <w:t xml:space="preserve"> The 1956 correction means the scrolls jar from locus 45 (or any of the other jars from the southeastern pottery annex published in 1954) cannot be associated with Period II with any confidence.</w:t>
      </w:r>
    </w:p>
    <w:p w:rsidR="00562E16" w:rsidRDefault="00F24BA3" w:rsidP="00F24BA3">
      <w:pPr>
        <w:pStyle w:val="NormalWeb"/>
      </w:pPr>
      <w:r>
        <w:t>A third example: during the second excavation season of 1953, three other scroll jars were found buried in locus 13, which de Vaux also reported in 1954 as Period II jars. But this was at a time when, as noted, de Vaux thought all cylindrical scroll jars belonged, in principle, to Period II.</w:t>
      </w:r>
      <w:r>
        <w:rPr>
          <w:rStyle w:val="FootnoteReference"/>
        </w:rPr>
        <w:footnoteReference w:id="27"/>
      </w:r>
      <w:r>
        <w:t xml:space="preserve"> </w:t>
      </w:r>
      <w:r w:rsidR="00562E16">
        <w:t xml:space="preserve">Locus 13 is in the same area of the buildings at Qumran as locus 2, and the date of the buried scroll jars of locus 13 may be the same as that of the buried scroll jar of locus 2 (due to the similarity in jar types and the proximity of the loci). Was the perception that </w:t>
      </w:r>
      <w:proofErr w:type="gramStart"/>
      <w:r w:rsidR="00562E16">
        <w:t>all of the</w:t>
      </w:r>
      <w:proofErr w:type="gramEnd"/>
      <w:r w:rsidR="00562E16">
        <w:t xml:space="preserve"> scroll jars </w:t>
      </w:r>
      <w:r w:rsidR="00444F86">
        <w:lastRenderedPageBreak/>
        <w:t xml:space="preserve">//151// </w:t>
      </w:r>
      <w:r w:rsidR="00562E16">
        <w:t xml:space="preserve">pertain to Period II the reason de Vaux identified the locus 13 scroll jars as Period II? There is no other known reason. Nothing from de Vaux’s notes in the </w:t>
      </w:r>
      <w:proofErr w:type="spellStart"/>
      <w:r w:rsidR="00562E16">
        <w:t>Humbert</w:t>
      </w:r>
      <w:proofErr w:type="spellEnd"/>
      <w:r w:rsidR="00562E16">
        <w:t xml:space="preserve"> and </w:t>
      </w:r>
      <w:proofErr w:type="spellStart"/>
      <w:r w:rsidR="00562E16">
        <w:t>Chambon</w:t>
      </w:r>
      <w:proofErr w:type="spellEnd"/>
      <w:r w:rsidR="00562E16">
        <w:t xml:space="preserve"> volume gives a </w:t>
      </w:r>
      <w:proofErr w:type="spellStart"/>
      <w:r w:rsidR="00562E16">
        <w:t>stratigraphic</w:t>
      </w:r>
      <w:proofErr w:type="spellEnd"/>
      <w:r w:rsidR="00562E16">
        <w:t xml:space="preserve"> reason to know that the locus 13 jars are Period II. Otherwise, de Vaux was making period assignments subjectively (not from stratification). De Vaux’s later correction, acknowledging that scrolls jars were at Qumran in Period </w:t>
      </w:r>
      <w:proofErr w:type="spellStart"/>
      <w:r w:rsidR="00562E16">
        <w:t>Ib</w:t>
      </w:r>
      <w:proofErr w:type="spellEnd"/>
      <w:r w:rsidR="00562E16">
        <w:t xml:space="preserve"> as well as Period II, means the scroll jars of locus 13 (just like the scroll jar of locus 2) cannot be associated with Period II with certainty.</w:t>
      </w:r>
    </w:p>
    <w:p w:rsidR="00562E16" w:rsidRDefault="00562E16" w:rsidP="00562E16">
      <w:pPr>
        <w:pStyle w:val="NormalWeb"/>
      </w:pPr>
      <w:r>
        <w:t>In fact, after de Vaux’s corrections are taken into account, no scroll jar at Qumran published by de Vaux can be securely identified as manufactured or installed in Period II. Table 2</w:t>
      </w:r>
      <w:r w:rsidR="00983263">
        <w:t xml:space="preserve"> [at end of paper]</w:t>
      </w:r>
      <w:r>
        <w:t xml:space="preserve"> is an inventory of all known scroll jars from the site of Qumran on the basis of presently available information. Several are datable to Period Ib. Others are uncertain due to a lack of adequate information. Not one is datable with confidence to Period II.</w:t>
      </w:r>
      <w:r>
        <w:rPr>
          <w:rStyle w:val="FootnoteReference"/>
        </w:rPr>
        <w:footnoteReference w:id="28"/>
      </w:r>
    </w:p>
    <w:p w:rsidR="00E25FF2" w:rsidRDefault="00E25FF2" w:rsidP="00562E16">
      <w:pPr>
        <w:pStyle w:val="NormalWeb"/>
      </w:pPr>
      <w:r>
        <w:t>At this point, no one disputes that scroll jars were in use at Qumran in Qumran Period Ib.</w:t>
      </w:r>
      <w:r>
        <w:rPr>
          <w:rStyle w:val="FootnoteReference"/>
        </w:rPr>
        <w:footnoteReference w:id="29"/>
      </w:r>
      <w:r>
        <w:t xml:space="preserve"> </w:t>
      </w:r>
      <w:proofErr w:type="gramStart"/>
      <w:r>
        <w:t>The</w:t>
      </w:r>
      <w:proofErr w:type="gramEnd"/>
      <w:r>
        <w:t xml:space="preserve"> issue is whether these jars were in use also in Period II. The answer to this question cannot be assumed, but must be established carefully on the basis of evidence.</w:t>
      </w:r>
    </w:p>
    <w:p w:rsidR="00E25FF2" w:rsidRDefault="00E25FF2" w:rsidP="00562E16">
      <w:pPr>
        <w:pStyle w:val="NormalWeb"/>
        <w:rPr>
          <w:i/>
        </w:rPr>
      </w:pPr>
      <w:r>
        <w:rPr>
          <w:i/>
        </w:rPr>
        <w:t>Bowl-lids on Scroll Jars</w:t>
      </w:r>
    </w:p>
    <w:p w:rsidR="00E25FF2" w:rsidRDefault="00E25FF2" w:rsidP="00562E16">
      <w:pPr>
        <w:pStyle w:val="NormalWeb"/>
        <w:rPr>
          <w:iCs/>
        </w:rPr>
      </w:pPr>
      <w:r>
        <w:rPr>
          <w:iCs/>
        </w:rPr>
        <w:t xml:space="preserve">Another potential means of dating the scroll deposits is by dating the bowl-lids associated with the scroll jars in the Qumran caves. At Jericho, jar lid type J-LD is identical to the most common </w:t>
      </w:r>
      <w:r>
        <w:rPr>
          <w:iCs/>
        </w:rPr>
        <w:lastRenderedPageBreak/>
        <w:t>bowl-lid used with the Qumran scroll jars.</w:t>
      </w:r>
      <w:r>
        <w:rPr>
          <w:rStyle w:val="FootnoteReference"/>
          <w:iCs/>
        </w:rPr>
        <w:footnoteReference w:id="30"/>
      </w:r>
      <w:r>
        <w:rPr>
          <w:iCs/>
        </w:rPr>
        <w:t xml:space="preserve"> There are four instances of J-LD bowl-lids at Jericho reported in Bar-Nathan’s data. As shown in Table 1</w:t>
      </w:r>
      <w:r w:rsidR="00983263">
        <w:rPr>
          <w:iCs/>
        </w:rPr>
        <w:t xml:space="preserve"> [at end of paper]</w:t>
      </w:r>
      <w:r>
        <w:rPr>
          <w:iCs/>
        </w:rPr>
        <w:t>, all of these bowl-lids are dated by the Jericho excavators between 85/75 B.C.E. and 6 C.E.</w:t>
      </w:r>
      <w:r>
        <w:rPr>
          <w:rStyle w:val="FootnoteReference"/>
          <w:iCs/>
        </w:rPr>
        <w:footnoteReference w:id="31"/>
      </w:r>
    </w:p>
    <w:p w:rsidR="00EF3108" w:rsidRPr="00983263" w:rsidRDefault="00E25FF2" w:rsidP="00983263">
      <w:pPr>
        <w:pStyle w:val="NormalWeb"/>
        <w:rPr>
          <w:iCs/>
        </w:rPr>
      </w:pPr>
      <w:r>
        <w:rPr>
          <w:iCs/>
        </w:rPr>
        <w:t>These bowl-lids are all either contemporary or close to contemporary with Qumran Period Ib. Not one J-LD bowl-lid is known to date anywhere near the First Revolt period.</w:t>
      </w:r>
    </w:p>
    <w:p w:rsidR="00E25FF2" w:rsidRDefault="00E25FF2" w:rsidP="00562E16">
      <w:pPr>
        <w:pStyle w:val="NormalWeb"/>
        <w:rPr>
          <w:iCs/>
        </w:rPr>
      </w:pPr>
      <w:r>
        <w:rPr>
          <w:i/>
        </w:rPr>
        <w:t>Conclusion Concerning Scroll Jars</w:t>
      </w:r>
    </w:p>
    <w:p w:rsidR="00E25FF2" w:rsidRDefault="00E25FF2" w:rsidP="00562E16">
      <w:pPr>
        <w:pStyle w:val="NormalWeb"/>
        <w:rPr>
          <w:iCs/>
        </w:rPr>
      </w:pPr>
      <w:r>
        <w:rPr>
          <w:iCs/>
        </w:rPr>
        <w:t xml:space="preserve">The parallels at Jericho suggest that de Vaux’s dating of scroll </w:t>
      </w:r>
      <w:r w:rsidR="00A83CCA">
        <w:rPr>
          <w:iCs/>
        </w:rPr>
        <w:t>jars at Qumran to Period II may</w:t>
      </w:r>
      <w:r>
        <w:rPr>
          <w:iCs/>
        </w:rPr>
        <w:t xml:space="preserve"> be illusory. An error from de Vaux of this nature may fall into a larger pattern. For example, de Vaux claimed that animal bone deposits found around the site in large numbers occurred in both Periods </w:t>
      </w:r>
      <w:proofErr w:type="spellStart"/>
      <w:r>
        <w:rPr>
          <w:iCs/>
        </w:rPr>
        <w:t>Ib</w:t>
      </w:r>
      <w:proofErr w:type="spellEnd"/>
      <w:r>
        <w:rPr>
          <w:iCs/>
        </w:rPr>
        <w:t xml:space="preserve"> and II.</w:t>
      </w:r>
      <w:r>
        <w:rPr>
          <w:rStyle w:val="FootnoteReference"/>
          <w:iCs/>
        </w:rPr>
        <w:footnoteReference w:id="32"/>
      </w:r>
      <w:r>
        <w:rPr>
          <w:iCs/>
        </w:rPr>
        <w:t xml:space="preserve"> A 1998 study by Robert </w:t>
      </w:r>
      <w:r w:rsidR="00444F86">
        <w:rPr>
          <w:iCs/>
        </w:rPr>
        <w:t xml:space="preserve">//152// </w:t>
      </w:r>
      <w:proofErr w:type="spellStart"/>
      <w:r>
        <w:rPr>
          <w:iCs/>
        </w:rPr>
        <w:t>Donceel</w:t>
      </w:r>
      <w:proofErr w:type="spellEnd"/>
      <w:r>
        <w:rPr>
          <w:iCs/>
        </w:rPr>
        <w:t xml:space="preserve"> concluded that de Vaux erred on this and that the animal bone</w:t>
      </w:r>
      <w:r w:rsidR="00053AE5">
        <w:rPr>
          <w:iCs/>
        </w:rPr>
        <w:t xml:space="preserve"> deposits were Period </w:t>
      </w:r>
      <w:proofErr w:type="spellStart"/>
      <w:r w:rsidR="00053AE5">
        <w:rPr>
          <w:iCs/>
        </w:rPr>
        <w:t>Ib</w:t>
      </w:r>
      <w:proofErr w:type="spellEnd"/>
      <w:r w:rsidR="00053AE5">
        <w:rPr>
          <w:iCs/>
        </w:rPr>
        <w:t xml:space="preserve"> only.</w:t>
      </w:r>
      <w:r w:rsidR="00053AE5">
        <w:rPr>
          <w:rStyle w:val="FootnoteReference"/>
          <w:iCs/>
        </w:rPr>
        <w:footnoteReference w:id="33"/>
      </w:r>
      <w:r w:rsidR="002552A2">
        <w:rPr>
          <w:iCs/>
        </w:rPr>
        <w:t xml:space="preserve"> Again, Jericho type BL5 is one of the most common bowls found at Qumran (708 of this kind of bowl were found in locus 89 alone). Bar-Nathan notes that there are no first century C.E. examples of this bowl at Jericho and suggests that de Vaux may have erred in attributing these bowls to both Period </w:t>
      </w:r>
      <w:proofErr w:type="spellStart"/>
      <w:r w:rsidR="002552A2">
        <w:rPr>
          <w:iCs/>
        </w:rPr>
        <w:t>Ib</w:t>
      </w:r>
      <w:proofErr w:type="spellEnd"/>
      <w:r w:rsidR="002552A2">
        <w:rPr>
          <w:iCs/>
        </w:rPr>
        <w:t xml:space="preserve"> and Period II.</w:t>
      </w:r>
      <w:r w:rsidR="002552A2">
        <w:rPr>
          <w:rStyle w:val="FootnoteReference"/>
          <w:iCs/>
        </w:rPr>
        <w:footnoteReference w:id="34"/>
      </w:r>
      <w:r w:rsidR="002552A2">
        <w:rPr>
          <w:iCs/>
        </w:rPr>
        <w:t xml:space="preserve"> Similarly, the scroll jars, like the animal bone deposits and the BL5 bowls, may have been ex</w:t>
      </w:r>
      <w:r w:rsidR="00A83CCA">
        <w:rPr>
          <w:iCs/>
        </w:rPr>
        <w:t xml:space="preserve">clusive to Period </w:t>
      </w:r>
      <w:proofErr w:type="spellStart"/>
      <w:r w:rsidR="00A83CCA">
        <w:rPr>
          <w:iCs/>
        </w:rPr>
        <w:t>Ib</w:t>
      </w:r>
      <w:proofErr w:type="spellEnd"/>
      <w:r w:rsidR="00A83CCA">
        <w:rPr>
          <w:iCs/>
        </w:rPr>
        <w:t xml:space="preserve"> and not </w:t>
      </w:r>
      <w:r w:rsidR="002552A2">
        <w:rPr>
          <w:iCs/>
        </w:rPr>
        <w:t xml:space="preserve">both </w:t>
      </w:r>
      <w:proofErr w:type="spellStart"/>
      <w:proofErr w:type="gramStart"/>
      <w:r w:rsidR="002552A2">
        <w:rPr>
          <w:iCs/>
        </w:rPr>
        <w:t>Ib</w:t>
      </w:r>
      <w:proofErr w:type="spellEnd"/>
      <w:proofErr w:type="gramEnd"/>
      <w:r w:rsidR="002552A2">
        <w:rPr>
          <w:iCs/>
        </w:rPr>
        <w:t xml:space="preserve"> and II, as de Vaux claimed.</w:t>
      </w:r>
    </w:p>
    <w:p w:rsidR="002552A2" w:rsidRPr="002552A2" w:rsidRDefault="002552A2" w:rsidP="00562E16">
      <w:pPr>
        <w:pStyle w:val="NormalWeb"/>
        <w:rPr>
          <w:i/>
        </w:rPr>
      </w:pPr>
      <w:r>
        <w:rPr>
          <w:i/>
        </w:rPr>
        <w:t>The Creation of First Century C.E. Paleographic Dates for Qumran Texts</w:t>
      </w:r>
    </w:p>
    <w:p w:rsidR="002552A2" w:rsidRDefault="002552A2" w:rsidP="002552A2">
      <w:pPr>
        <w:pStyle w:val="NormalWeb"/>
      </w:pPr>
      <w:r>
        <w:t xml:space="preserve">Many today think that some Qumran texts have been independently dated to as late as the first century C.E. by paleography. But, in fact, those who defined the absolute </w:t>
      </w:r>
      <w:proofErr w:type="spellStart"/>
      <w:r>
        <w:t>datings</w:t>
      </w:r>
      <w:proofErr w:type="spellEnd"/>
      <w:r>
        <w:t xml:space="preserve"> of the formal scribal hands of the Qumran texts--</w:t>
      </w:r>
      <w:proofErr w:type="spellStart"/>
      <w:r>
        <w:t>Nahman</w:t>
      </w:r>
      <w:proofErr w:type="spellEnd"/>
      <w:r>
        <w:t xml:space="preserve"> </w:t>
      </w:r>
      <w:proofErr w:type="spellStart"/>
      <w:r>
        <w:t>Avigad</w:t>
      </w:r>
      <w:proofErr w:type="spellEnd"/>
      <w:r>
        <w:t xml:space="preserve">, Frank Moore Cross, and, currently, </w:t>
      </w:r>
      <w:proofErr w:type="spellStart"/>
      <w:r>
        <w:t>Ada</w:t>
      </w:r>
      <w:proofErr w:type="spellEnd"/>
      <w:r>
        <w:t xml:space="preserve"> </w:t>
      </w:r>
      <w:proofErr w:type="spellStart"/>
      <w:r>
        <w:t>Yardeni</w:t>
      </w:r>
      <w:proofErr w:type="spellEnd"/>
      <w:r>
        <w:t xml:space="preserve">--did so based on the assumption that the Qumran cave texts ended c. 70 C.E., which was assumed to be an external checkpoint, an independent archaeological fact. That is how Qumran texts came to be as late as the first century C.E. </w:t>
      </w:r>
      <w:proofErr w:type="spellStart"/>
      <w:r>
        <w:t>paleographically</w:t>
      </w:r>
      <w:proofErr w:type="spellEnd"/>
      <w:r>
        <w:t xml:space="preserve">. It is one hundred percent circular reasoning, as the following brief historical sketch will make clear. Recall that prior to the first excavation season at Qumran, all published Qumran texts were </w:t>
      </w:r>
      <w:proofErr w:type="spellStart"/>
      <w:r>
        <w:t>palaeographically</w:t>
      </w:r>
      <w:proofErr w:type="spellEnd"/>
      <w:r>
        <w:t xml:space="preserve"> dated pre-</w:t>
      </w:r>
      <w:proofErr w:type="spellStart"/>
      <w:r>
        <w:lastRenderedPageBreak/>
        <w:t>Herodian</w:t>
      </w:r>
      <w:proofErr w:type="spellEnd"/>
      <w:r>
        <w:t>.</w:t>
      </w:r>
      <w:r>
        <w:rPr>
          <w:rStyle w:val="FootnoteReference"/>
        </w:rPr>
        <w:footnoteReference w:id="35"/>
      </w:r>
      <w:r>
        <w:t xml:space="preserve"> Then, in 1951, de Vaux excavated Qumran, found the scroll jar in locus 2, and announced to the world that this proved the cave scroll deposits had taken place in the first century C.E. This created an expectation that there should be first century C.E. texts, although at that point none were known. The gap was soon remedied: in 1953 Cross reported the discovery of the first scribal hands in Qumran texts from as late as the </w:t>
      </w:r>
      <w:proofErr w:type="spellStart"/>
      <w:r>
        <w:t>Herodian</w:t>
      </w:r>
      <w:proofErr w:type="spellEnd"/>
      <w:r>
        <w:t xml:space="preserve"> period among the unpublished Cave 4 fragments.</w:t>
      </w:r>
    </w:p>
    <w:p w:rsidR="002552A2" w:rsidRDefault="002552A2" w:rsidP="002552A2">
      <w:pPr>
        <w:pStyle w:val="NormalWeb"/>
        <w:ind w:left="720"/>
      </w:pPr>
      <w:r>
        <w:t xml:space="preserve">[T]hanks to the enormous quantity of material in the fourth cave, examples of every stage in the evolution of the 'Aramaic' character, from cir. 200 B.C. to 70 A.D., are in hand. [They] continue into the script of the </w:t>
      </w:r>
      <w:proofErr w:type="spellStart"/>
      <w:r>
        <w:t>Herodian</w:t>
      </w:r>
      <w:proofErr w:type="spellEnd"/>
      <w:r>
        <w:t xml:space="preserve"> period, known especially from funerary inscriptions (and thus later than the latest of the 1947 finds published to date).</w:t>
      </w:r>
      <w:r>
        <w:rPr>
          <w:rStyle w:val="FootnoteReference"/>
        </w:rPr>
        <w:footnoteReference w:id="36"/>
      </w:r>
    </w:p>
    <w:p w:rsidR="002552A2" w:rsidRDefault="002552A2" w:rsidP="002552A2">
      <w:pPr>
        <w:pStyle w:val="NormalWeb"/>
      </w:pPr>
      <w:r>
        <w:t xml:space="preserve">Soon the First Revolt construct retroactively pulled the </w:t>
      </w:r>
      <w:proofErr w:type="spellStart"/>
      <w:r>
        <w:t>palaeographic</w:t>
      </w:r>
      <w:proofErr w:type="spellEnd"/>
      <w:r>
        <w:t xml:space="preserve"> </w:t>
      </w:r>
      <w:proofErr w:type="spellStart"/>
      <w:r>
        <w:t>datings</w:t>
      </w:r>
      <w:proofErr w:type="spellEnd"/>
      <w:r>
        <w:t xml:space="preserve"> for a large number of additional Qumran texts, including most of the previously published Cave 1 texts, later into the </w:t>
      </w:r>
      <w:proofErr w:type="spellStart"/>
      <w:r>
        <w:t>Herodian</w:t>
      </w:r>
      <w:proofErr w:type="spellEnd"/>
      <w:r>
        <w:t xml:space="preserve"> period.</w:t>
      </w:r>
    </w:p>
    <w:p w:rsidR="002552A2" w:rsidRDefault="002552A2" w:rsidP="002552A2">
      <w:pPr>
        <w:pStyle w:val="NormalWeb"/>
        <w:ind w:left="720"/>
      </w:pPr>
      <w:r>
        <w:t xml:space="preserve">The organization of a typological series with scores of exemplars of the formal script, both from MSS and inscriptions, is now in progress. [. . .] Similarly, the cursive series can be set up, though with fewer specimens. From Qumran, MSS exhibiting both hands stand side by side from the second century </w:t>
      </w:r>
      <w:r w:rsidR="00F24BA3">
        <w:t>B.C. until the First Revolt.</w:t>
      </w:r>
      <w:r w:rsidR="00F24BA3">
        <w:rPr>
          <w:rStyle w:val="FootnoteReference"/>
        </w:rPr>
        <w:footnoteReference w:id="37"/>
      </w:r>
    </w:p>
    <w:p w:rsidR="002552A2" w:rsidRDefault="00444F86" w:rsidP="002552A2">
      <w:pPr>
        <w:pStyle w:val="NormalWeb"/>
      </w:pPr>
      <w:r>
        <w:t xml:space="preserve">//153// </w:t>
      </w:r>
      <w:r w:rsidR="002552A2">
        <w:t xml:space="preserve">However, external data has not cooperated with this construction, which is derived from the First Revolt premise. In 1961, Cross reported that </w:t>
      </w:r>
      <w:proofErr w:type="spellStart"/>
      <w:r w:rsidR="002552A2">
        <w:t>semicursive</w:t>
      </w:r>
      <w:proofErr w:type="spellEnd"/>
      <w:r w:rsidR="002552A2">
        <w:t xml:space="preserve"> hands from as late as the first century C.E. are entirely missing from the Qumran texts (they never existed in the </w:t>
      </w:r>
      <w:r w:rsidR="00F24BA3">
        <w:t>Qumran texts to begin with).</w:t>
      </w:r>
      <w:r w:rsidR="00F24BA3">
        <w:rPr>
          <w:rStyle w:val="FootnoteReference"/>
        </w:rPr>
        <w:footnoteReference w:id="38"/>
      </w:r>
      <w:r w:rsidR="002552A2">
        <w:t xml:space="preserve"> And in 1998, </w:t>
      </w:r>
      <w:proofErr w:type="spellStart"/>
      <w:r w:rsidR="002552A2">
        <w:t>Yardeni</w:t>
      </w:r>
      <w:proofErr w:type="spellEnd"/>
      <w:r w:rsidR="002552A2">
        <w:t xml:space="preserve"> argued that a tiny handful of first century C.E. true cursive hands among the 4Q texts have nothing to do with Qumran (that is, those 4Q texts indeed are first century C.E., but they are not from Q</w:t>
      </w:r>
      <w:r w:rsidR="00F24BA3">
        <w:t>umran).</w:t>
      </w:r>
      <w:r w:rsidR="00F24BA3">
        <w:rPr>
          <w:rStyle w:val="FootnoteReference"/>
        </w:rPr>
        <w:footnoteReference w:id="39"/>
      </w:r>
      <w:r w:rsidR="002552A2">
        <w:t xml:space="preserve"> Today the chronologically floating formal hands are all that remain among the Qumran finds which are still generally believed to run as late as the first century C.E.</w:t>
      </w:r>
    </w:p>
    <w:p w:rsidR="002552A2" w:rsidRDefault="002552A2" w:rsidP="002552A2">
      <w:pPr>
        <w:pStyle w:val="NormalWeb"/>
      </w:pPr>
      <w:r>
        <w:t xml:space="preserve">But an example of "first century A.D." writing (according to Cross) turned up on a locus 89 bowl from [de Vaux's] Period </w:t>
      </w:r>
      <w:proofErr w:type="spellStart"/>
      <w:r>
        <w:t>Ib</w:t>
      </w:r>
      <w:proofErr w:type="spellEnd"/>
      <w:r>
        <w:t xml:space="preserve">--decades before this was supposed to exist in Cross's system. This </w:t>
      </w:r>
      <w:r>
        <w:lastRenderedPageBreak/>
        <w:t xml:space="preserve">caused a perplexed but honest Cross to say that if the locus 89 bowls really were from [de Vaux's] Period </w:t>
      </w:r>
      <w:proofErr w:type="spellStart"/>
      <w:r>
        <w:t>Ib</w:t>
      </w:r>
      <w:proofErr w:type="spellEnd"/>
      <w:r>
        <w:t xml:space="preserve">, </w:t>
      </w:r>
      <w:r w:rsidRPr="00493017">
        <w:t xml:space="preserve">then </w:t>
      </w:r>
      <w:r w:rsidRPr="00493017">
        <w:rPr>
          <w:rStyle w:val="Emphasis"/>
          <w:i w:val="0"/>
          <w:iCs w:val="0"/>
        </w:rPr>
        <w:t>the actual dates for developments in the formal hands might be systematically earlier than he had published for them</w:t>
      </w:r>
      <w:r w:rsidR="00493017" w:rsidRPr="00493017">
        <w:rPr>
          <w:rStyle w:val="Emphasis"/>
        </w:rPr>
        <w:t>.</w:t>
      </w:r>
      <w:r w:rsidR="00493017" w:rsidRPr="00493017">
        <w:rPr>
          <w:rStyle w:val="FootnoteReference"/>
        </w:rPr>
        <w:footnoteReference w:id="40"/>
      </w:r>
      <w:r w:rsidR="00493017" w:rsidRPr="00493017">
        <w:rPr>
          <w:rStyle w:val="Emphasis"/>
        </w:rPr>
        <w:t xml:space="preserve"> </w:t>
      </w:r>
      <w:r w:rsidRPr="00493017">
        <w:t xml:space="preserve">Few today </w:t>
      </w:r>
      <w:proofErr w:type="gramStart"/>
      <w:r w:rsidRPr="00493017">
        <w:t>question</w:t>
      </w:r>
      <w:proofErr w:type="gramEnd"/>
      <w:r w:rsidRPr="00493017">
        <w:t xml:space="preserve"> that the locus</w:t>
      </w:r>
      <w:r w:rsidR="00493017">
        <w:t xml:space="preserve"> 89 bowls are </w:t>
      </w:r>
      <w:r>
        <w:t xml:space="preserve">Period </w:t>
      </w:r>
      <w:proofErr w:type="spellStart"/>
      <w:r>
        <w:t>Ib</w:t>
      </w:r>
      <w:proofErr w:type="spellEnd"/>
      <w:r>
        <w:t>, and the first century B.C.E. dating of the locus 89 bowls has been corro</w:t>
      </w:r>
      <w:r w:rsidR="00493017">
        <w:t>borated by finds at Jericho.</w:t>
      </w:r>
      <w:r w:rsidR="00493017">
        <w:rPr>
          <w:rStyle w:val="FootnoteReference"/>
        </w:rPr>
        <w:footnoteReference w:id="41"/>
      </w:r>
      <w:r>
        <w:t xml:space="preserve"> Yet the implications of Cross's reasonable statement have never been taken seriously. There is no non-circular argument for dating Qumran </w:t>
      </w:r>
      <w:r w:rsidR="00493017">
        <w:t>texts found in the caves on pal</w:t>
      </w:r>
      <w:r>
        <w:t>eographic grounds l</w:t>
      </w:r>
      <w:r w:rsidR="00493017">
        <w:t xml:space="preserve">ater than the end of </w:t>
      </w:r>
      <w:r>
        <w:t>Period Ib.</w:t>
      </w:r>
    </w:p>
    <w:p w:rsidR="0046343E" w:rsidRDefault="0046343E" w:rsidP="002552A2">
      <w:pPr>
        <w:pStyle w:val="NormalWeb"/>
      </w:pPr>
      <w:r>
        <w:rPr>
          <w:i/>
          <w:iCs/>
        </w:rPr>
        <w:t>Radiocarbon</w:t>
      </w:r>
    </w:p>
    <w:p w:rsidR="0046343E" w:rsidRDefault="0046343E" w:rsidP="002552A2">
      <w:pPr>
        <w:pStyle w:val="NormalWeb"/>
      </w:pPr>
      <w:r>
        <w:t>The claim is frequently repeated that radiocarbon dating has confirmed dates of scribal copies of Qumran texts as late as the first century C.E.</w:t>
      </w:r>
      <w:r>
        <w:rPr>
          <w:rStyle w:val="FootnoteReference"/>
        </w:rPr>
        <w:footnoteReference w:id="42"/>
      </w:r>
      <w:r>
        <w:t xml:space="preserve"> Such claims have arisen from interpreting ambiguous data through the filtering effect of the First Revolt construct and the paleographic “dates” themselves rather than evaluation of the radiocarbon data viewed independently of such presuppositions. In fact, the existing radiocarbon data, while confirming second and first century B.C.E. dates of scribal activity among the Qumran finds, do not confirm scribal activity in the first century C.E.</w:t>
      </w:r>
    </w:p>
    <w:p w:rsidR="0046343E" w:rsidRDefault="0046343E" w:rsidP="002552A2">
      <w:pPr>
        <w:pStyle w:val="NormalWeb"/>
      </w:pPr>
      <w:r>
        <w:t xml:space="preserve">In the radiocarbon </w:t>
      </w:r>
      <w:proofErr w:type="spellStart"/>
      <w:r>
        <w:t>datings</w:t>
      </w:r>
      <w:proofErr w:type="spellEnd"/>
      <w:r>
        <w:t xml:space="preserve"> from Zürich in 1991 and Tucson in 1994, none of the nineteen Qumran texts included were from the typologically latest formal writing among the Qumran finds (the so-called “late </w:t>
      </w:r>
      <w:proofErr w:type="spellStart"/>
      <w:r>
        <w:t>Herodian</w:t>
      </w:r>
      <w:proofErr w:type="spellEnd"/>
      <w:r>
        <w:t>” formal).</w:t>
      </w:r>
      <w:r>
        <w:rPr>
          <w:rStyle w:val="FootnoteReference"/>
        </w:rPr>
        <w:footnoteReference w:id="43"/>
      </w:r>
      <w:r>
        <w:t xml:space="preserve"> Otherwise, </w:t>
      </w:r>
      <w:proofErr w:type="gramStart"/>
      <w:r>
        <w:t>a fairly representative sampling of the range of script types among the Qumran finds were</w:t>
      </w:r>
      <w:proofErr w:type="gramEnd"/>
      <w:r>
        <w:t xml:space="preserve"> dated. Here a methodological point must be emphasized. In any series of radiocarbon </w:t>
      </w:r>
      <w:proofErr w:type="spellStart"/>
      <w:r>
        <w:t>datings</w:t>
      </w:r>
      <w:proofErr w:type="spellEnd"/>
      <w:r>
        <w:t xml:space="preserve"> of items from a similar </w:t>
      </w:r>
      <w:proofErr w:type="spellStart"/>
      <w:r>
        <w:rPr>
          <w:i/>
          <w:iCs/>
        </w:rPr>
        <w:t>floruit</w:t>
      </w:r>
      <w:proofErr w:type="spellEnd"/>
      <w:r>
        <w:t xml:space="preserve">, typically one or two radiocarbon dates will be out a little later at one end than the true latest date of the cluster. That is part of the uncertainty associated with individual data points; it is to be expected if a series of samples are dated which include some from the last generation before an endpoint. One simply cannot run a series of radiocarbon </w:t>
      </w:r>
      <w:proofErr w:type="spellStart"/>
      <w:r>
        <w:t>datings</w:t>
      </w:r>
      <w:proofErr w:type="spellEnd"/>
      <w:r>
        <w:t xml:space="preserve"> on a number of items, then focus on the latest radiocarbon date, whatever it is, as if that proves the latest date for the entire group.</w:t>
      </w:r>
    </w:p>
    <w:p w:rsidR="0046343E" w:rsidRDefault="0046343E" w:rsidP="002552A2">
      <w:pPr>
        <w:pStyle w:val="NormalWeb"/>
      </w:pPr>
      <w:r>
        <w:t>To illustrate this point, consider the radiocarbon dates done in the Zürich and Tucson series on five texts from Bar-</w:t>
      </w:r>
      <w:proofErr w:type="spellStart"/>
      <w:r>
        <w:t>Kokhba</w:t>
      </w:r>
      <w:proofErr w:type="spellEnd"/>
      <w:r>
        <w:t xml:space="preserve"> era sites. The latest of those five radiocarbon dates was 140-390 C.E. at 95% confidence (at 68% confidence, 237-340 C.E.).</w:t>
      </w:r>
      <w:r>
        <w:rPr>
          <w:rStyle w:val="FootnoteReference"/>
        </w:rPr>
        <w:footnoteReference w:id="44"/>
      </w:r>
      <w:r>
        <w:t xml:space="preserve"> </w:t>
      </w:r>
    </w:p>
    <w:p w:rsidR="004A25B6" w:rsidRDefault="0046343E" w:rsidP="00370A89">
      <w:pPr>
        <w:pStyle w:val="NormalWeb"/>
      </w:pPr>
      <w:r>
        <w:t>Yet the true dates of all five of those texts are known: all of t</w:t>
      </w:r>
      <w:r w:rsidR="00370A89">
        <w:t>hem were copied between 128 and 135 C.E. (from date formula).</w:t>
      </w:r>
      <w:r w:rsidR="00444F86">
        <w:t xml:space="preserve"> //154//</w:t>
      </w:r>
      <w:r w:rsidR="00370A89">
        <w:t xml:space="preserve"> Focusing on the latest radiocarbon date of a group can be misleading in determining the latest true date among a group. Of the nineteen Qumran texts </w:t>
      </w:r>
      <w:r w:rsidR="00370A89">
        <w:lastRenderedPageBreak/>
        <w:t>dated at Zürich and Tucson, only two gave radiocarbon dates with 95% confidence ranges entirely later than the time of Qumran Period Ib. The first was 1QS</w:t>
      </w:r>
      <w:r w:rsidR="00370A89">
        <w:rPr>
          <w:vertAlign w:val="superscript"/>
        </w:rPr>
        <w:t>d</w:t>
      </w:r>
      <w:r w:rsidR="00370A89">
        <w:t>, which gave a radiocarbon date of 129-318 C.E. at 95% confidence; and the second was 4QpPs</w:t>
      </w:r>
      <w:r w:rsidR="00370A89">
        <w:rPr>
          <w:vertAlign w:val="superscript"/>
        </w:rPr>
        <w:t>a</w:t>
      </w:r>
      <w:r w:rsidR="00370A89">
        <w:t>, which gave a radiocarbon date of 3-126 C.E. at 95% confidence.</w:t>
      </w:r>
    </w:p>
    <w:p w:rsidR="00370A89" w:rsidRDefault="00370A89" w:rsidP="00370A89">
      <w:pPr>
        <w:pStyle w:val="NormalWeb"/>
      </w:pPr>
      <w:r>
        <w:t>4QS</w:t>
      </w:r>
      <w:r>
        <w:rPr>
          <w:vertAlign w:val="superscript"/>
        </w:rPr>
        <w:t>d</w:t>
      </w:r>
      <w:r>
        <w:t xml:space="preserve"> was rechecked, because a second-third century C.E. date was considered impossible. A second sample cut from a different area of 4QS</w:t>
      </w:r>
      <w:r>
        <w:rPr>
          <w:vertAlign w:val="superscript"/>
        </w:rPr>
        <w:t>d</w:t>
      </w:r>
      <w:r>
        <w:t xml:space="preserve"> gave a significantly earlier dating, indicating the original radiocarbon date for 4QS</w:t>
      </w:r>
      <w:r>
        <w:rPr>
          <w:vertAlign w:val="superscript"/>
        </w:rPr>
        <w:t>d</w:t>
      </w:r>
      <w:r>
        <w:t xml:space="preserve"> had been affected by some modern contaminant which the lab’s pretreatment had failed to remove. 4QpPs</w:t>
      </w:r>
      <w:r>
        <w:rPr>
          <w:vertAlign w:val="superscript"/>
        </w:rPr>
        <w:t>a</w:t>
      </w:r>
      <w:r>
        <w:t xml:space="preserve"> never was rechecked, since it was consistent with the First Revolt construction. The First Revolt construct—an idea in the minds of scholars having nothing to do with radiocarbon data—had determined which text radiocarbon date was further checked and which was not. Another text with which the scribal copy of 4QpPs</w:t>
      </w:r>
      <w:r>
        <w:rPr>
          <w:vertAlign w:val="superscript"/>
        </w:rPr>
        <w:t>a</w:t>
      </w:r>
      <w:r>
        <w:t xml:space="preserve"> is probably contemporary, 1QpHab, gave a radiocarbon date significantly earlier than 4QpPs</w:t>
      </w:r>
      <w:r>
        <w:rPr>
          <w:vertAlign w:val="superscript"/>
        </w:rPr>
        <w:t>a</w:t>
      </w:r>
      <w:r>
        <w:t>. In light of the “outlier” status of 4QpPs</w:t>
      </w:r>
      <w:r>
        <w:rPr>
          <w:vertAlign w:val="superscript"/>
        </w:rPr>
        <w:t>a</w:t>
      </w:r>
      <w:r>
        <w:t>—4QpPs</w:t>
      </w:r>
      <w:r>
        <w:rPr>
          <w:vertAlign w:val="superscript"/>
        </w:rPr>
        <w:t>a</w:t>
      </w:r>
      <w:r>
        <w:t xml:space="preserve"> is the latest non-rechecked date of all 19 dates (the actual latest turning out to be contaminated, when rechecked)—it is simply wrong to claim that the radiocarbon date for it proves true dates of Qumran cave texts as late as the first century C.E. (remember the Bar-</w:t>
      </w:r>
      <w:proofErr w:type="spellStart"/>
      <w:r>
        <w:t>Kokhba</w:t>
      </w:r>
      <w:proofErr w:type="spellEnd"/>
      <w:r>
        <w:t xml:space="preserve"> text example above).</w:t>
      </w:r>
    </w:p>
    <w:p w:rsidR="00370A89" w:rsidRPr="00370A89" w:rsidRDefault="00370A89" w:rsidP="00370A89">
      <w:pPr>
        <w:pStyle w:val="NormalWeb"/>
      </w:pPr>
      <w:r>
        <w:t>A sound interpretation of the existing data is that true dates in the first century C.E. of texts from the caves at Qumran are neither confirmed nor refuted on grounds of radiocarbon data alone. This ambiguity will not always be the case. The picture will become clearer with further radiocarbon data.</w:t>
      </w:r>
      <w:r>
        <w:rPr>
          <w:rStyle w:val="FootnoteReference"/>
        </w:rPr>
        <w:footnoteReference w:id="45"/>
      </w:r>
    </w:p>
    <w:p w:rsidR="007C29A0" w:rsidRPr="00370A89" w:rsidRDefault="00370A89" w:rsidP="007C29A0">
      <w:pPr>
        <w:pStyle w:val="NormalWeb"/>
        <w:rPr>
          <w:i/>
          <w:iCs/>
        </w:rPr>
      </w:pPr>
      <w:r>
        <w:rPr>
          <w:i/>
          <w:iCs/>
        </w:rPr>
        <w:t>Concluding Remarks</w:t>
      </w:r>
    </w:p>
    <w:p w:rsidR="007C29A0" w:rsidRDefault="007C29A0" w:rsidP="007C29A0">
      <w:pPr>
        <w:pStyle w:val="NormalWeb"/>
      </w:pPr>
      <w:r>
        <w:t xml:space="preserve">It is a curious paradox that scholarly constructions often retain momentum after the original reasons which created them are acknowledged to be mistaken. There was no actual basis in the data for de Vaux's confidence when in 1952 he announced the first findings of Qumran and declared that the scrolls of Cave 1 were deposited as late as the first century C.E., since the dating of the locus 2 scroll jar was uncertain. But, de Vaux did not know this, because at the time he found the locus 2 </w:t>
      </w:r>
      <w:proofErr w:type="gramStart"/>
      <w:r>
        <w:t>jar</w:t>
      </w:r>
      <w:proofErr w:type="gramEnd"/>
      <w:r>
        <w:t xml:space="preserve"> he knew of only one occupation period for Qumran, in the first century C.E. The discovery of the distinct, earlier first century B.C.E. occupation at Qumran, including locus 2, was reported by de Vaux after the next excavation season, in 1953. Yet, the perception of certainty surrounding the First Revolt date for the scroll deposits remained uncorrected down to the present day. The first century C.E. dating of the Qumran texts is a classic example of a mistaken scholarly paradigm filtering subsequent perception of data (archaeological, paleographic, and radiocarbon), creating illusions of independent corroboration. In fact, it has never been soundly established that texts found in the Qumran caves were composed, copied, or deposited in the caves later than the time of Qumr</w:t>
      </w:r>
      <w:r w:rsidR="00B73A66">
        <w:t>an's Period Ib</w:t>
      </w:r>
      <w:r>
        <w:t xml:space="preserve">. Once this is acknowledged, the </w:t>
      </w:r>
      <w:r>
        <w:lastRenderedPageBreak/>
        <w:t>question is raised whether there is a sound basis to suppose first century C.E. Qumran texts deposits in the absence of evidence.</w:t>
      </w:r>
    </w:p>
    <w:p w:rsidR="007C29A0" w:rsidRDefault="007C29A0" w:rsidP="00B73A66">
      <w:pPr>
        <w:pStyle w:val="NormalWeb"/>
      </w:pPr>
      <w:r>
        <w:t xml:space="preserve">A significant </w:t>
      </w:r>
      <w:r w:rsidR="00B73A66">
        <w:t xml:space="preserve">difference between </w:t>
      </w:r>
      <w:r>
        <w:t xml:space="preserve">Qumran Periods </w:t>
      </w:r>
      <w:proofErr w:type="spellStart"/>
      <w:r>
        <w:t>Ib</w:t>
      </w:r>
      <w:proofErr w:type="spellEnd"/>
      <w:r>
        <w:t xml:space="preserve"> and II with respect to the texts is already accepted: the texts in the caves reflect flourishing authorial activity during the time of Qumran's Period </w:t>
      </w:r>
      <w:proofErr w:type="spellStart"/>
      <w:r>
        <w:t>Ib</w:t>
      </w:r>
      <w:proofErr w:type="spellEnd"/>
      <w:r>
        <w:t>, but, strangely, none at all in Period II. According to the prevailing scholarly construction, the inhabitants at Qumran switched over to copying old texts, without authoring a single new one, through the entirety of the first century C</w:t>
      </w:r>
      <w:r w:rsidR="00B73A66">
        <w:t>.E. until the First Revolt.</w:t>
      </w:r>
      <w:r w:rsidR="00B73A66">
        <w:rPr>
          <w:rStyle w:val="FootnoteReference"/>
        </w:rPr>
        <w:footnoteReference w:id="46"/>
      </w:r>
      <w:r w:rsidR="00B73A66">
        <w:t xml:space="preserve"> </w:t>
      </w:r>
      <w:r>
        <w:t xml:space="preserve">No reason is given. However </w:t>
      </w:r>
      <w:r w:rsidR="00444F86">
        <w:t xml:space="preserve">//155// </w:t>
      </w:r>
      <w:r>
        <w:t>odd this may seem, it has been regarded as a necessary interpretation in light of what has been assumed to be 'archaeological fact' (the First Revolt deposit date).</w:t>
      </w:r>
    </w:p>
    <w:p w:rsidR="007C29A0" w:rsidRDefault="007C29A0" w:rsidP="007C29A0">
      <w:pPr>
        <w:pStyle w:val="NormalWeb"/>
      </w:pPr>
      <w:r>
        <w:t>In light of the foregoing analysis, a different possibility suggests itself. The complete absence of even one allusion to a figure, circumstance, or event in the first century C.E. in a corpus of texts on the</w:t>
      </w:r>
      <w:r w:rsidR="00B73A66">
        <w:t xml:space="preserve"> scale of the finds at Qumran—c</w:t>
      </w:r>
      <w:r>
        <w:t>ompared to dozens of such allusions</w:t>
      </w:r>
      <w:r w:rsidR="00B73A66">
        <w:t xml:space="preserve"> from the first century B.C.E.—is </w:t>
      </w:r>
      <w:r>
        <w:t>well explained if the text deposits themselves ended in the first century B.C.E.</w:t>
      </w:r>
    </w:p>
    <w:p w:rsidR="007C29A0" w:rsidRDefault="007C29A0" w:rsidP="007C29A0">
      <w:pPr>
        <w:pStyle w:val="NormalWeb"/>
      </w:pPr>
      <w:r>
        <w:t>In the same way, the fluid, pre-stabilization character of the biblical texts found at Qumran, compared to the post-stabilization character of the biblical texts found at Masada, also is well explained if the Qumran text deposits ended earlier than commonly supposed.</w:t>
      </w:r>
      <w:r w:rsidR="00B73A66">
        <w:rPr>
          <w:rStyle w:val="FootnoteReference"/>
        </w:rPr>
        <w:footnoteReference w:id="47"/>
      </w:r>
      <w:r w:rsidR="00166F4A">
        <w:t xml:space="preserve"> </w:t>
      </w:r>
      <w:r>
        <w:t>These phenomena are less easily explicable in terms of the existing date paradigm.</w:t>
      </w:r>
    </w:p>
    <w:p w:rsidR="00983263" w:rsidRPr="002F4438" w:rsidRDefault="007C29A0" w:rsidP="00166F4A">
      <w:pPr>
        <w:pStyle w:val="NormalWeb"/>
      </w:pPr>
      <w:r>
        <w:t>And so this paper can be brought to a close with these questions addressed to those involved in the archaeology of Qumran: Is it legitimate to continue to speak of first century C.E. text deposits at Qumran as an established fact? Or is this date construction another 'received truth' of de Vaux th</w:t>
      </w:r>
      <w:r w:rsidR="00166F4A">
        <w:t xml:space="preserve">at also needs to be reexamined?    </w:t>
      </w:r>
      <w:r w:rsidR="002F4438">
        <w:t>[</w:t>
      </w:r>
      <w:proofErr w:type="gramStart"/>
      <w:r w:rsidR="002F4438">
        <w:rPr>
          <w:i/>
          <w:iCs/>
        </w:rPr>
        <w:t>end</w:t>
      </w:r>
      <w:proofErr w:type="gramEnd"/>
      <w:r w:rsidR="002F4438">
        <w:rPr>
          <w:i/>
          <w:iCs/>
        </w:rPr>
        <w:t xml:space="preserve"> of article: two tables follow</w:t>
      </w:r>
      <w:r w:rsidR="002F4438">
        <w:t>]</w:t>
      </w:r>
    </w:p>
    <w:p w:rsidR="00444F86" w:rsidRPr="00983263" w:rsidRDefault="00444F86" w:rsidP="007C29A0">
      <w:pPr>
        <w:pStyle w:val="NormalWeb"/>
        <w:rPr>
          <w:b/>
          <w:bCs/>
        </w:rPr>
      </w:pPr>
    </w:p>
    <w:p w:rsidR="00A83CCA" w:rsidRPr="002F4438" w:rsidRDefault="00983263" w:rsidP="00A83CCA">
      <w:pPr>
        <w:pStyle w:val="NormalWeb"/>
        <w:tabs>
          <w:tab w:val="left" w:pos="2073"/>
        </w:tabs>
        <w:rPr>
          <w:b/>
          <w:bCs/>
          <w:iCs/>
          <w:sz w:val="18"/>
          <w:szCs w:val="18"/>
        </w:rPr>
      </w:pPr>
      <w:r w:rsidRPr="002F4438">
        <w:rPr>
          <w:b/>
          <w:bCs/>
          <w:iCs/>
          <w:sz w:val="18"/>
          <w:szCs w:val="18"/>
        </w:rPr>
        <w:lastRenderedPageBreak/>
        <w:t xml:space="preserve">Table 1: Chronological Listing of Jericho Bowl-lids </w:t>
      </w:r>
      <w:r w:rsidR="00A83CCA" w:rsidRPr="002F4438">
        <w:rPr>
          <w:b/>
          <w:bCs/>
          <w:iCs/>
          <w:sz w:val="18"/>
          <w:szCs w:val="18"/>
        </w:rPr>
        <w:t>of the same type used on scroll jars at Qumran (</w:t>
      </w:r>
      <w:r w:rsidRPr="002F4438">
        <w:rPr>
          <w:b/>
          <w:bCs/>
          <w:iCs/>
          <w:sz w:val="18"/>
          <w:szCs w:val="18"/>
        </w:rPr>
        <w:t>from Bar-Nathan 2002]</w:t>
      </w:r>
      <w:r w:rsidR="00A83CCA" w:rsidRPr="002F4438">
        <w:rPr>
          <w:b/>
          <w:bCs/>
          <w:iCs/>
          <w:sz w:val="18"/>
          <w:szCs w:val="18"/>
        </w:rPr>
        <w:t xml:space="preserve"> </w:t>
      </w:r>
    </w:p>
    <w:tbl>
      <w:tblPr>
        <w:tblStyle w:val="TableGrid"/>
        <w:tblW w:w="0" w:type="auto"/>
        <w:tblLook w:val="04A0"/>
      </w:tblPr>
      <w:tblGrid>
        <w:gridCol w:w="1321"/>
        <w:gridCol w:w="1877"/>
        <w:gridCol w:w="2546"/>
        <w:gridCol w:w="1442"/>
      </w:tblGrid>
      <w:tr w:rsidR="00983263" w:rsidRPr="002F4438" w:rsidTr="00444F86">
        <w:tc>
          <w:tcPr>
            <w:tcW w:w="0" w:type="auto"/>
          </w:tcPr>
          <w:p w:rsidR="00983263" w:rsidRPr="002F4438" w:rsidRDefault="00983263" w:rsidP="00444F86">
            <w:pPr>
              <w:pStyle w:val="NormalWeb"/>
              <w:rPr>
                <w:iCs/>
                <w:sz w:val="18"/>
                <w:szCs w:val="18"/>
              </w:rPr>
            </w:pPr>
            <w:r w:rsidRPr="002F4438">
              <w:rPr>
                <w:iCs/>
                <w:sz w:val="18"/>
                <w:szCs w:val="18"/>
              </w:rPr>
              <w:t>Inventory #246</w:t>
            </w:r>
          </w:p>
        </w:tc>
        <w:tc>
          <w:tcPr>
            <w:tcW w:w="0" w:type="auto"/>
          </w:tcPr>
          <w:p w:rsidR="00983263" w:rsidRPr="002F4438" w:rsidRDefault="00983263" w:rsidP="00444F86">
            <w:pPr>
              <w:pStyle w:val="NormalWeb"/>
              <w:rPr>
                <w:iCs/>
                <w:sz w:val="18"/>
                <w:szCs w:val="18"/>
              </w:rPr>
            </w:pPr>
            <w:r w:rsidRPr="002F4438">
              <w:rPr>
                <w:iCs/>
                <w:sz w:val="18"/>
                <w:szCs w:val="18"/>
              </w:rPr>
              <w:t>Room AE16</w:t>
            </w:r>
          </w:p>
        </w:tc>
        <w:tc>
          <w:tcPr>
            <w:tcW w:w="0" w:type="auto"/>
          </w:tcPr>
          <w:p w:rsidR="00983263" w:rsidRPr="002F4438" w:rsidRDefault="00983263" w:rsidP="00444F86">
            <w:pPr>
              <w:pStyle w:val="NormalWeb"/>
              <w:rPr>
                <w:iCs/>
                <w:sz w:val="18"/>
                <w:szCs w:val="18"/>
              </w:rPr>
            </w:pPr>
            <w:r w:rsidRPr="002F4438">
              <w:rPr>
                <w:iCs/>
                <w:sz w:val="18"/>
                <w:szCs w:val="18"/>
              </w:rPr>
              <w:t>Western Mansion, Twin Palaces</w:t>
            </w:r>
          </w:p>
        </w:tc>
        <w:tc>
          <w:tcPr>
            <w:tcW w:w="0" w:type="auto"/>
          </w:tcPr>
          <w:p w:rsidR="00983263" w:rsidRPr="002F4438" w:rsidRDefault="00983263" w:rsidP="00444F86">
            <w:pPr>
              <w:pStyle w:val="NormalWeb"/>
              <w:rPr>
                <w:iCs/>
                <w:sz w:val="18"/>
                <w:szCs w:val="18"/>
              </w:rPr>
            </w:pPr>
            <w:r w:rsidRPr="002F4438">
              <w:rPr>
                <w:iCs/>
                <w:sz w:val="18"/>
                <w:szCs w:val="18"/>
              </w:rPr>
              <w:t>85/75-31 B.C.E.</w:t>
            </w:r>
          </w:p>
        </w:tc>
      </w:tr>
      <w:tr w:rsidR="00983263" w:rsidRPr="002F4438" w:rsidTr="00444F86">
        <w:tc>
          <w:tcPr>
            <w:tcW w:w="0" w:type="auto"/>
          </w:tcPr>
          <w:p w:rsidR="00983263" w:rsidRPr="002F4438" w:rsidRDefault="00983263" w:rsidP="00444F86">
            <w:pPr>
              <w:pStyle w:val="NormalWeb"/>
              <w:rPr>
                <w:iCs/>
                <w:sz w:val="18"/>
                <w:szCs w:val="18"/>
              </w:rPr>
            </w:pPr>
            <w:r w:rsidRPr="002F4438">
              <w:rPr>
                <w:iCs/>
                <w:sz w:val="18"/>
                <w:szCs w:val="18"/>
              </w:rPr>
              <w:t>Inventory #247</w:t>
            </w:r>
          </w:p>
        </w:tc>
        <w:tc>
          <w:tcPr>
            <w:tcW w:w="0" w:type="auto"/>
          </w:tcPr>
          <w:p w:rsidR="00983263" w:rsidRPr="002F4438" w:rsidRDefault="00983263" w:rsidP="00444F86">
            <w:pPr>
              <w:pStyle w:val="NormalWeb"/>
              <w:rPr>
                <w:iCs/>
                <w:sz w:val="18"/>
                <w:szCs w:val="18"/>
              </w:rPr>
            </w:pPr>
            <w:r w:rsidRPr="002F4438">
              <w:rPr>
                <w:iCs/>
                <w:sz w:val="18"/>
                <w:szCs w:val="18"/>
              </w:rPr>
              <w:t>Storeroom F165</w:t>
            </w:r>
          </w:p>
        </w:tc>
        <w:tc>
          <w:tcPr>
            <w:tcW w:w="0" w:type="auto"/>
          </w:tcPr>
          <w:p w:rsidR="00983263" w:rsidRPr="002F4438" w:rsidRDefault="00983263" w:rsidP="00444F86">
            <w:pPr>
              <w:pStyle w:val="NormalWeb"/>
              <w:rPr>
                <w:iCs/>
                <w:sz w:val="18"/>
                <w:szCs w:val="18"/>
              </w:rPr>
            </w:pPr>
            <w:r w:rsidRPr="002F4438">
              <w:rPr>
                <w:iCs/>
                <w:sz w:val="18"/>
                <w:szCs w:val="18"/>
              </w:rPr>
              <w:t>Building FB2, Industrial Area</w:t>
            </w:r>
          </w:p>
        </w:tc>
        <w:tc>
          <w:tcPr>
            <w:tcW w:w="0" w:type="auto"/>
          </w:tcPr>
          <w:p w:rsidR="00983263" w:rsidRPr="002F4438" w:rsidRDefault="00983263" w:rsidP="00444F86">
            <w:pPr>
              <w:pStyle w:val="NormalWeb"/>
              <w:rPr>
                <w:iCs/>
                <w:sz w:val="18"/>
                <w:szCs w:val="18"/>
              </w:rPr>
            </w:pPr>
            <w:r w:rsidRPr="002F4438">
              <w:rPr>
                <w:iCs/>
                <w:sz w:val="18"/>
                <w:szCs w:val="18"/>
              </w:rPr>
              <w:t>31-15 B.C.E.</w:t>
            </w:r>
          </w:p>
        </w:tc>
      </w:tr>
      <w:tr w:rsidR="00983263" w:rsidRPr="002F4438" w:rsidTr="00444F86">
        <w:tc>
          <w:tcPr>
            <w:tcW w:w="0" w:type="auto"/>
          </w:tcPr>
          <w:p w:rsidR="00983263" w:rsidRPr="002F4438" w:rsidRDefault="00983263" w:rsidP="00444F86">
            <w:pPr>
              <w:pStyle w:val="NormalWeb"/>
              <w:rPr>
                <w:iCs/>
                <w:sz w:val="18"/>
                <w:szCs w:val="18"/>
              </w:rPr>
            </w:pPr>
            <w:proofErr w:type="spellStart"/>
            <w:r w:rsidRPr="002F4438">
              <w:rPr>
                <w:iCs/>
                <w:sz w:val="18"/>
                <w:szCs w:val="18"/>
              </w:rPr>
              <w:t>Uncatalogued</w:t>
            </w:r>
            <w:proofErr w:type="spellEnd"/>
          </w:p>
        </w:tc>
        <w:tc>
          <w:tcPr>
            <w:tcW w:w="0" w:type="auto"/>
          </w:tcPr>
          <w:p w:rsidR="00983263" w:rsidRPr="002F4438" w:rsidRDefault="00983263" w:rsidP="00444F86">
            <w:pPr>
              <w:pStyle w:val="NormalWeb"/>
              <w:rPr>
                <w:iCs/>
                <w:sz w:val="18"/>
                <w:szCs w:val="18"/>
              </w:rPr>
            </w:pPr>
            <w:r w:rsidRPr="002F4438">
              <w:rPr>
                <w:iCs/>
                <w:sz w:val="18"/>
                <w:szCs w:val="18"/>
              </w:rPr>
              <w:t>Pool F182, Ritual Bath</w:t>
            </w:r>
          </w:p>
        </w:tc>
        <w:tc>
          <w:tcPr>
            <w:tcW w:w="0" w:type="auto"/>
          </w:tcPr>
          <w:p w:rsidR="00983263" w:rsidRPr="002F4438" w:rsidRDefault="00983263" w:rsidP="00444F86">
            <w:pPr>
              <w:pStyle w:val="NormalWeb"/>
              <w:rPr>
                <w:iCs/>
                <w:sz w:val="18"/>
                <w:szCs w:val="18"/>
              </w:rPr>
            </w:pPr>
            <w:r w:rsidRPr="002F4438">
              <w:rPr>
                <w:iCs/>
                <w:sz w:val="18"/>
                <w:szCs w:val="18"/>
              </w:rPr>
              <w:t>Building FB1, Industrial Area</w:t>
            </w:r>
          </w:p>
        </w:tc>
        <w:tc>
          <w:tcPr>
            <w:tcW w:w="0" w:type="auto"/>
          </w:tcPr>
          <w:p w:rsidR="00983263" w:rsidRPr="002F4438" w:rsidRDefault="00983263" w:rsidP="00444F86">
            <w:pPr>
              <w:pStyle w:val="NormalWeb"/>
              <w:rPr>
                <w:iCs/>
                <w:sz w:val="18"/>
                <w:szCs w:val="18"/>
              </w:rPr>
            </w:pPr>
            <w:r w:rsidRPr="002F4438">
              <w:rPr>
                <w:iCs/>
                <w:sz w:val="18"/>
                <w:szCs w:val="18"/>
              </w:rPr>
              <w:t>31-15 B.C.E.</w:t>
            </w:r>
          </w:p>
        </w:tc>
      </w:tr>
      <w:tr w:rsidR="00983263" w:rsidRPr="002F4438" w:rsidTr="00444F86">
        <w:tc>
          <w:tcPr>
            <w:tcW w:w="0" w:type="auto"/>
          </w:tcPr>
          <w:p w:rsidR="00983263" w:rsidRPr="002F4438" w:rsidRDefault="00983263" w:rsidP="00444F86">
            <w:pPr>
              <w:pStyle w:val="NormalWeb"/>
              <w:rPr>
                <w:iCs/>
                <w:sz w:val="18"/>
                <w:szCs w:val="18"/>
              </w:rPr>
            </w:pPr>
            <w:proofErr w:type="spellStart"/>
            <w:r w:rsidRPr="002F4438">
              <w:rPr>
                <w:iCs/>
                <w:sz w:val="18"/>
                <w:szCs w:val="18"/>
              </w:rPr>
              <w:t>Uncatalogued</w:t>
            </w:r>
            <w:proofErr w:type="spellEnd"/>
          </w:p>
        </w:tc>
        <w:tc>
          <w:tcPr>
            <w:tcW w:w="0" w:type="auto"/>
          </w:tcPr>
          <w:p w:rsidR="00983263" w:rsidRPr="002F4438" w:rsidRDefault="00983263" w:rsidP="00444F86">
            <w:pPr>
              <w:pStyle w:val="NormalWeb"/>
              <w:rPr>
                <w:iCs/>
                <w:sz w:val="18"/>
                <w:szCs w:val="18"/>
              </w:rPr>
            </w:pPr>
            <w:r w:rsidRPr="002F4438">
              <w:rPr>
                <w:iCs/>
                <w:sz w:val="18"/>
                <w:szCs w:val="18"/>
              </w:rPr>
              <w:t>Locus 123</w:t>
            </w:r>
          </w:p>
        </w:tc>
        <w:tc>
          <w:tcPr>
            <w:tcW w:w="0" w:type="auto"/>
          </w:tcPr>
          <w:p w:rsidR="00983263" w:rsidRPr="002F4438" w:rsidRDefault="00983263" w:rsidP="00444F86">
            <w:pPr>
              <w:pStyle w:val="NormalWeb"/>
              <w:rPr>
                <w:iCs/>
                <w:sz w:val="18"/>
                <w:szCs w:val="18"/>
              </w:rPr>
            </w:pPr>
            <w:r w:rsidRPr="002F4438">
              <w:rPr>
                <w:iCs/>
                <w:sz w:val="18"/>
                <w:szCs w:val="18"/>
              </w:rPr>
              <w:t>Industrial Area</w:t>
            </w:r>
          </w:p>
        </w:tc>
        <w:tc>
          <w:tcPr>
            <w:tcW w:w="0" w:type="auto"/>
          </w:tcPr>
          <w:p w:rsidR="00983263" w:rsidRPr="002F4438" w:rsidRDefault="00983263" w:rsidP="00444F86">
            <w:pPr>
              <w:pStyle w:val="NormalWeb"/>
              <w:rPr>
                <w:iCs/>
                <w:sz w:val="18"/>
                <w:szCs w:val="18"/>
              </w:rPr>
            </w:pPr>
            <w:r w:rsidRPr="002F4438">
              <w:rPr>
                <w:iCs/>
                <w:sz w:val="18"/>
                <w:szCs w:val="18"/>
              </w:rPr>
              <w:t>15 B.C.E.-6 C.E.</w:t>
            </w:r>
          </w:p>
        </w:tc>
      </w:tr>
    </w:tbl>
    <w:p w:rsidR="007C29A0" w:rsidRPr="002F4438" w:rsidRDefault="007C29A0">
      <w:pPr>
        <w:rPr>
          <w:sz w:val="18"/>
          <w:szCs w:val="18"/>
        </w:rPr>
      </w:pPr>
    </w:p>
    <w:p w:rsidR="00EF3108" w:rsidRPr="002F4438" w:rsidRDefault="00EF3108">
      <w:pPr>
        <w:rPr>
          <w:rFonts w:asciiTheme="majorBidi" w:hAnsiTheme="majorBidi" w:cstheme="majorBidi"/>
          <w:b/>
          <w:bCs/>
          <w:sz w:val="18"/>
          <w:szCs w:val="18"/>
        </w:rPr>
      </w:pPr>
      <w:r w:rsidRPr="002F4438">
        <w:rPr>
          <w:rFonts w:asciiTheme="majorBidi" w:hAnsiTheme="majorBidi" w:cstheme="majorBidi"/>
          <w:b/>
          <w:bCs/>
          <w:sz w:val="18"/>
          <w:szCs w:val="18"/>
        </w:rPr>
        <w:t>Table 2: Scroll jars found at the buildings of Qumran</w:t>
      </w:r>
      <w:r w:rsidR="00A83CCA" w:rsidRPr="002F4438">
        <w:rPr>
          <w:rFonts w:asciiTheme="majorBidi" w:hAnsiTheme="majorBidi" w:cstheme="majorBidi"/>
          <w:b/>
          <w:bCs/>
          <w:sz w:val="18"/>
          <w:szCs w:val="18"/>
        </w:rPr>
        <w:t xml:space="preserve"> [see footnote 28 for abbreviations and notation).</w:t>
      </w:r>
    </w:p>
    <w:tbl>
      <w:tblPr>
        <w:tblStyle w:val="TableGrid"/>
        <w:tblW w:w="0" w:type="auto"/>
        <w:tblLook w:val="04A0"/>
      </w:tblPr>
      <w:tblGrid>
        <w:gridCol w:w="715"/>
        <w:gridCol w:w="885"/>
        <w:gridCol w:w="1318"/>
        <w:gridCol w:w="5672"/>
        <w:gridCol w:w="986"/>
      </w:tblGrid>
      <w:tr w:rsidR="00E91D92" w:rsidRPr="002F4438" w:rsidTr="00EF3108">
        <w:tc>
          <w:tcPr>
            <w:tcW w:w="0" w:type="auto"/>
          </w:tcPr>
          <w:p w:rsidR="00EF3108" w:rsidRPr="002F4438" w:rsidRDefault="00EF3108">
            <w:pPr>
              <w:rPr>
                <w:rFonts w:asciiTheme="majorBidi" w:hAnsiTheme="majorBidi" w:cstheme="majorBidi"/>
                <w:b/>
                <w:bCs/>
                <w:sz w:val="18"/>
                <w:szCs w:val="18"/>
              </w:rPr>
            </w:pPr>
            <w:r w:rsidRPr="002F4438">
              <w:rPr>
                <w:rFonts w:asciiTheme="majorBidi" w:hAnsiTheme="majorBidi" w:cstheme="majorBidi"/>
                <w:b/>
                <w:bCs/>
                <w:sz w:val="18"/>
                <w:szCs w:val="18"/>
              </w:rPr>
              <w:t>Locus</w:t>
            </w:r>
          </w:p>
        </w:tc>
        <w:tc>
          <w:tcPr>
            <w:tcW w:w="0" w:type="auto"/>
          </w:tcPr>
          <w:p w:rsidR="00EF3108" w:rsidRPr="002F4438" w:rsidRDefault="00EF3108">
            <w:pPr>
              <w:rPr>
                <w:rFonts w:asciiTheme="majorBidi" w:hAnsiTheme="majorBidi" w:cstheme="majorBidi"/>
                <w:b/>
                <w:bCs/>
                <w:sz w:val="18"/>
                <w:szCs w:val="18"/>
              </w:rPr>
            </w:pPr>
            <w:proofErr w:type="spellStart"/>
            <w:r w:rsidRPr="002F4438">
              <w:rPr>
                <w:rFonts w:asciiTheme="majorBidi" w:hAnsiTheme="majorBidi" w:cstheme="majorBidi"/>
                <w:b/>
                <w:bCs/>
                <w:sz w:val="18"/>
                <w:szCs w:val="18"/>
              </w:rPr>
              <w:t>KhQ</w:t>
            </w:r>
            <w:proofErr w:type="spellEnd"/>
            <w:r w:rsidRPr="002F4438">
              <w:rPr>
                <w:rFonts w:asciiTheme="majorBidi" w:hAnsiTheme="majorBidi" w:cstheme="majorBidi"/>
                <w:b/>
                <w:bCs/>
                <w:sz w:val="18"/>
                <w:szCs w:val="18"/>
              </w:rPr>
              <w:t xml:space="preserve"> number</w:t>
            </w:r>
          </w:p>
        </w:tc>
        <w:tc>
          <w:tcPr>
            <w:tcW w:w="0" w:type="auto"/>
          </w:tcPr>
          <w:p w:rsidR="00EF3108" w:rsidRPr="002F4438" w:rsidRDefault="00EF3108">
            <w:pPr>
              <w:rPr>
                <w:rFonts w:asciiTheme="majorBidi" w:hAnsiTheme="majorBidi" w:cstheme="majorBidi"/>
                <w:b/>
                <w:bCs/>
                <w:sz w:val="18"/>
                <w:szCs w:val="18"/>
              </w:rPr>
            </w:pPr>
            <w:r w:rsidRPr="002F4438">
              <w:rPr>
                <w:rFonts w:asciiTheme="majorBidi" w:hAnsiTheme="majorBidi" w:cstheme="majorBidi"/>
                <w:b/>
                <w:bCs/>
                <w:sz w:val="18"/>
                <w:szCs w:val="18"/>
              </w:rPr>
              <w:t>Photo #/drawing</w:t>
            </w:r>
          </w:p>
        </w:tc>
        <w:tc>
          <w:tcPr>
            <w:tcW w:w="0" w:type="auto"/>
          </w:tcPr>
          <w:p w:rsidR="00EF3108" w:rsidRPr="002F4438" w:rsidRDefault="00EF3108">
            <w:pPr>
              <w:rPr>
                <w:rFonts w:asciiTheme="majorBidi" w:hAnsiTheme="majorBidi" w:cstheme="majorBidi"/>
                <w:b/>
                <w:bCs/>
                <w:sz w:val="18"/>
                <w:szCs w:val="18"/>
              </w:rPr>
            </w:pPr>
            <w:r w:rsidRPr="002F4438">
              <w:rPr>
                <w:rFonts w:asciiTheme="majorBidi" w:hAnsiTheme="majorBidi" w:cstheme="majorBidi"/>
                <w:b/>
                <w:bCs/>
                <w:sz w:val="18"/>
                <w:szCs w:val="18"/>
              </w:rPr>
              <w:t>Notes and comments</w:t>
            </w:r>
          </w:p>
        </w:tc>
        <w:tc>
          <w:tcPr>
            <w:tcW w:w="0" w:type="auto"/>
          </w:tcPr>
          <w:p w:rsidR="00EF3108" w:rsidRPr="002F4438" w:rsidRDefault="00EF3108">
            <w:pPr>
              <w:rPr>
                <w:rFonts w:asciiTheme="majorBidi" w:hAnsiTheme="majorBidi" w:cstheme="majorBidi"/>
                <w:b/>
                <w:bCs/>
                <w:sz w:val="18"/>
                <w:szCs w:val="18"/>
              </w:rPr>
            </w:pPr>
            <w:r w:rsidRPr="002F4438">
              <w:rPr>
                <w:rFonts w:asciiTheme="majorBidi" w:hAnsiTheme="majorBidi" w:cstheme="majorBidi"/>
                <w:b/>
                <w:bCs/>
                <w:sz w:val="18"/>
                <w:szCs w:val="18"/>
              </w:rPr>
              <w:t>Dating</w:t>
            </w:r>
          </w:p>
        </w:tc>
      </w:tr>
      <w:tr w:rsidR="006A21E6" w:rsidRPr="002F4438" w:rsidTr="00EF3108">
        <w:tc>
          <w:tcPr>
            <w:tcW w:w="0" w:type="auto"/>
          </w:tcPr>
          <w:p w:rsidR="00EF3108" w:rsidRPr="002F4438" w:rsidRDefault="00EF3108">
            <w:pPr>
              <w:rPr>
                <w:rFonts w:asciiTheme="majorBidi" w:hAnsiTheme="majorBidi" w:cstheme="majorBidi"/>
                <w:b/>
                <w:bCs/>
                <w:sz w:val="18"/>
                <w:szCs w:val="18"/>
              </w:rPr>
            </w:pPr>
            <w:r w:rsidRPr="002F4438">
              <w:rPr>
                <w:rFonts w:asciiTheme="majorBidi" w:hAnsiTheme="majorBidi" w:cstheme="majorBidi"/>
                <w:b/>
                <w:bCs/>
                <w:sz w:val="18"/>
                <w:szCs w:val="18"/>
              </w:rPr>
              <w:t>2</w:t>
            </w:r>
          </w:p>
        </w:tc>
        <w:tc>
          <w:tcPr>
            <w:tcW w:w="0" w:type="auto"/>
          </w:tcPr>
          <w:p w:rsidR="00EF3108" w:rsidRPr="002F4438" w:rsidRDefault="00EF3108">
            <w:pPr>
              <w:rPr>
                <w:rFonts w:asciiTheme="majorBidi" w:hAnsiTheme="majorBidi" w:cstheme="majorBidi"/>
                <w:sz w:val="18"/>
                <w:szCs w:val="18"/>
              </w:rPr>
            </w:pPr>
            <w:r w:rsidRPr="002F4438">
              <w:rPr>
                <w:rFonts w:asciiTheme="majorBidi" w:hAnsiTheme="majorBidi" w:cstheme="majorBidi"/>
                <w:sz w:val="18"/>
                <w:szCs w:val="18"/>
              </w:rPr>
              <w:t>27</w:t>
            </w:r>
          </w:p>
        </w:tc>
        <w:tc>
          <w:tcPr>
            <w:tcW w:w="0" w:type="auto"/>
          </w:tcPr>
          <w:p w:rsidR="00EF3108" w:rsidRPr="002F4438" w:rsidRDefault="00EF3108">
            <w:pPr>
              <w:rPr>
                <w:rFonts w:asciiTheme="majorBidi" w:hAnsiTheme="majorBidi" w:cstheme="majorBidi"/>
                <w:sz w:val="18"/>
                <w:szCs w:val="18"/>
              </w:rPr>
            </w:pPr>
            <w:r w:rsidRPr="002F4438">
              <w:rPr>
                <w:rFonts w:asciiTheme="majorBidi" w:hAnsiTheme="majorBidi" w:cstheme="majorBidi"/>
                <w:sz w:val="18"/>
                <w:szCs w:val="18"/>
              </w:rPr>
              <w:t>HC #142; DV 1953, Fig. 2:2.</w:t>
            </w:r>
          </w:p>
        </w:tc>
        <w:tc>
          <w:tcPr>
            <w:tcW w:w="0" w:type="auto"/>
          </w:tcPr>
          <w:p w:rsidR="00EF3108" w:rsidRPr="002F4438" w:rsidRDefault="00EF3108">
            <w:pPr>
              <w:rPr>
                <w:rFonts w:asciiTheme="majorBidi" w:hAnsiTheme="majorBidi" w:cstheme="majorBidi"/>
                <w:sz w:val="18"/>
                <w:szCs w:val="18"/>
              </w:rPr>
            </w:pPr>
            <w:r w:rsidRPr="002F4438">
              <w:rPr>
                <w:rFonts w:asciiTheme="majorBidi" w:hAnsiTheme="majorBidi" w:cstheme="majorBidi"/>
                <w:sz w:val="18"/>
                <w:szCs w:val="18"/>
              </w:rPr>
              <w:t xml:space="preserve">Classic tall cylindrical. Buried in </w:t>
            </w:r>
            <w:proofErr w:type="gramStart"/>
            <w:r w:rsidRPr="002F4438">
              <w:rPr>
                <w:rFonts w:asciiTheme="majorBidi" w:hAnsiTheme="majorBidi" w:cstheme="majorBidi"/>
                <w:sz w:val="18"/>
                <w:szCs w:val="18"/>
              </w:rPr>
              <w:t>a</w:t>
            </w:r>
            <w:proofErr w:type="gramEnd"/>
            <w:r w:rsidRPr="002F4438">
              <w:rPr>
                <w:rFonts w:asciiTheme="majorBidi" w:hAnsiTheme="majorBidi" w:cstheme="majorBidi"/>
                <w:sz w:val="18"/>
                <w:szCs w:val="18"/>
              </w:rPr>
              <w:t xml:space="preserve">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xml:space="preserve"> floor that was reused in II. In 1952 de Vaux announced that both the jar and the floor were 1</w:t>
            </w:r>
            <w:r w:rsidRPr="002F4438">
              <w:rPr>
                <w:rFonts w:asciiTheme="majorBidi" w:hAnsiTheme="majorBidi" w:cstheme="majorBidi"/>
                <w:sz w:val="18"/>
                <w:szCs w:val="18"/>
                <w:vertAlign w:val="superscript"/>
              </w:rPr>
              <w:t>st</w:t>
            </w:r>
            <w:r w:rsidRPr="002F4438">
              <w:rPr>
                <w:rFonts w:asciiTheme="majorBidi" w:hAnsiTheme="majorBidi" w:cstheme="majorBidi"/>
                <w:sz w:val="18"/>
                <w:szCs w:val="18"/>
              </w:rPr>
              <w:t xml:space="preserve"> century CE before realizing that Period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xml:space="preserve"> existed and that the locus 2 </w:t>
            </w:r>
            <w:proofErr w:type="gramStart"/>
            <w:r w:rsidRPr="002F4438">
              <w:rPr>
                <w:rFonts w:asciiTheme="majorBidi" w:hAnsiTheme="majorBidi" w:cstheme="majorBidi"/>
                <w:sz w:val="18"/>
                <w:szCs w:val="18"/>
              </w:rPr>
              <w:t>floor</w:t>
            </w:r>
            <w:proofErr w:type="gramEnd"/>
            <w:r w:rsidRPr="002F4438">
              <w:rPr>
                <w:rFonts w:asciiTheme="majorBidi" w:hAnsiTheme="majorBidi" w:cstheme="majorBidi"/>
                <w:sz w:val="18"/>
                <w:szCs w:val="18"/>
              </w:rPr>
              <w:t xml:space="preserve"> was built in Ib. There is no reason why this jar buried in </w:t>
            </w:r>
            <w:proofErr w:type="gramStart"/>
            <w:r w:rsidRPr="002F4438">
              <w:rPr>
                <w:rFonts w:asciiTheme="majorBidi" w:hAnsiTheme="majorBidi" w:cstheme="majorBidi"/>
                <w:sz w:val="18"/>
                <w:szCs w:val="18"/>
              </w:rPr>
              <w:t>a</w:t>
            </w:r>
            <w:proofErr w:type="gramEnd"/>
            <w:r w:rsidRPr="002F4438">
              <w:rPr>
                <w:rFonts w:asciiTheme="majorBidi" w:hAnsiTheme="majorBidi" w:cstheme="majorBidi"/>
                <w:sz w:val="18"/>
                <w:szCs w:val="18"/>
              </w:rPr>
              <w:t xml:space="preserve">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xml:space="preserve"> floor could not be Ib. De Vaux: “The jar seems to be contemporary with the flooring” (</w:t>
            </w:r>
            <w:proofErr w:type="spellStart"/>
            <w:r w:rsidRPr="002F4438">
              <w:rPr>
                <w:rFonts w:asciiTheme="majorBidi" w:hAnsiTheme="majorBidi" w:cstheme="majorBidi"/>
                <w:sz w:val="18"/>
                <w:szCs w:val="18"/>
              </w:rPr>
              <w:t>Pfann</w:t>
            </w:r>
            <w:proofErr w:type="spellEnd"/>
            <w:r w:rsidRPr="002F4438">
              <w:rPr>
                <w:rFonts w:asciiTheme="majorBidi" w:hAnsiTheme="majorBidi" w:cstheme="majorBidi"/>
                <w:sz w:val="18"/>
                <w:szCs w:val="18"/>
              </w:rPr>
              <w:t xml:space="preserve"> 2003, 12). A coin, originally unidentified, later identified as from </w:t>
            </w:r>
            <w:proofErr w:type="spellStart"/>
            <w:r w:rsidRPr="002F4438">
              <w:rPr>
                <w:rFonts w:asciiTheme="majorBidi" w:hAnsiTheme="majorBidi" w:cstheme="majorBidi"/>
                <w:sz w:val="18"/>
                <w:szCs w:val="18"/>
              </w:rPr>
              <w:t>Antigonus</w:t>
            </w:r>
            <w:proofErr w:type="spellEnd"/>
            <w:r w:rsidRPr="002F4438">
              <w:rPr>
                <w:rFonts w:asciiTheme="majorBidi" w:hAnsiTheme="majorBidi" w:cstheme="majorBidi"/>
                <w:sz w:val="18"/>
                <w:szCs w:val="18"/>
              </w:rPr>
              <w:t xml:space="preserve"> </w:t>
            </w:r>
            <w:proofErr w:type="spellStart"/>
            <w:r w:rsidRPr="002F4438">
              <w:rPr>
                <w:rFonts w:asciiTheme="majorBidi" w:hAnsiTheme="majorBidi" w:cstheme="majorBidi"/>
                <w:sz w:val="18"/>
                <w:szCs w:val="18"/>
              </w:rPr>
              <w:t>Mattathias</w:t>
            </w:r>
            <w:proofErr w:type="spellEnd"/>
            <w:r w:rsidRPr="002F4438">
              <w:rPr>
                <w:rFonts w:asciiTheme="majorBidi" w:hAnsiTheme="majorBidi" w:cstheme="majorBidi"/>
                <w:sz w:val="18"/>
                <w:szCs w:val="18"/>
              </w:rPr>
              <w:t xml:space="preserve"> (40-37 BCE), was found “against the jar buried under the paved floor.” The dropping of this coin either occurred with the burial of the jar or else postdated the burial of the jar. Elsewhere de Vaux argued that coins from </w:t>
            </w:r>
            <w:proofErr w:type="spellStart"/>
            <w:r w:rsidRPr="002F4438">
              <w:rPr>
                <w:rFonts w:asciiTheme="majorBidi" w:hAnsiTheme="majorBidi" w:cstheme="majorBidi"/>
                <w:sz w:val="18"/>
                <w:szCs w:val="18"/>
              </w:rPr>
              <w:t>Antigonus</w:t>
            </w:r>
            <w:proofErr w:type="spellEnd"/>
            <w:r w:rsidRPr="002F4438">
              <w:rPr>
                <w:rFonts w:asciiTheme="majorBidi" w:hAnsiTheme="majorBidi" w:cstheme="majorBidi"/>
                <w:sz w:val="18"/>
                <w:szCs w:val="18"/>
              </w:rPr>
              <w:t xml:space="preserve"> </w:t>
            </w:r>
            <w:proofErr w:type="spellStart"/>
            <w:r w:rsidRPr="002F4438">
              <w:rPr>
                <w:rFonts w:asciiTheme="majorBidi" w:hAnsiTheme="majorBidi" w:cstheme="majorBidi"/>
                <w:sz w:val="18"/>
                <w:szCs w:val="18"/>
              </w:rPr>
              <w:t>Mattathias</w:t>
            </w:r>
            <w:proofErr w:type="spellEnd"/>
            <w:r w:rsidRPr="002F4438">
              <w:rPr>
                <w:rFonts w:asciiTheme="majorBidi" w:hAnsiTheme="majorBidi" w:cstheme="majorBidi"/>
                <w:sz w:val="18"/>
                <w:szCs w:val="18"/>
              </w:rPr>
              <w:t xml:space="preserve"> attest activity in Period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xml:space="preserve"> (DV 1973, 21-3), but he never commented on this coin.</w:t>
            </w:r>
          </w:p>
        </w:tc>
        <w:tc>
          <w:tcPr>
            <w:tcW w:w="0" w:type="auto"/>
          </w:tcPr>
          <w:p w:rsidR="00EF3108" w:rsidRPr="002F4438" w:rsidRDefault="00EF3108">
            <w:pPr>
              <w:rPr>
                <w:rFonts w:asciiTheme="majorBidi" w:hAnsiTheme="majorBidi" w:cstheme="majorBidi"/>
                <w:b/>
                <w:bCs/>
                <w:sz w:val="18"/>
                <w:szCs w:val="18"/>
              </w:rPr>
            </w:pPr>
            <w:proofErr w:type="spellStart"/>
            <w:r w:rsidRPr="002F4438">
              <w:rPr>
                <w:rFonts w:asciiTheme="majorBidi" w:hAnsiTheme="majorBidi" w:cstheme="majorBidi"/>
                <w:b/>
                <w:bCs/>
                <w:sz w:val="18"/>
                <w:szCs w:val="18"/>
              </w:rPr>
              <w:t>Ib</w:t>
            </w:r>
            <w:proofErr w:type="spellEnd"/>
            <w:r w:rsidRPr="002F4438">
              <w:rPr>
                <w:rFonts w:asciiTheme="majorBidi" w:hAnsiTheme="majorBidi" w:cstheme="majorBidi"/>
                <w:b/>
                <w:bCs/>
                <w:sz w:val="18"/>
                <w:szCs w:val="18"/>
              </w:rPr>
              <w:t xml:space="preserve"> (?)</w:t>
            </w:r>
          </w:p>
        </w:tc>
      </w:tr>
      <w:tr w:rsidR="006A21E6" w:rsidRPr="002F4438" w:rsidTr="00EF3108">
        <w:tc>
          <w:tcPr>
            <w:tcW w:w="0" w:type="auto"/>
          </w:tcPr>
          <w:p w:rsidR="00EF3108" w:rsidRPr="002F4438" w:rsidRDefault="00EF3108">
            <w:pPr>
              <w:rPr>
                <w:rFonts w:asciiTheme="majorBidi" w:hAnsiTheme="majorBidi" w:cstheme="majorBidi"/>
                <w:b/>
                <w:bCs/>
                <w:sz w:val="18"/>
                <w:szCs w:val="18"/>
              </w:rPr>
            </w:pPr>
            <w:r w:rsidRPr="002F4438">
              <w:rPr>
                <w:rFonts w:asciiTheme="majorBidi" w:hAnsiTheme="majorBidi" w:cstheme="majorBidi"/>
                <w:b/>
                <w:bCs/>
                <w:sz w:val="18"/>
                <w:szCs w:val="18"/>
              </w:rPr>
              <w:t>13</w:t>
            </w:r>
          </w:p>
        </w:tc>
        <w:tc>
          <w:tcPr>
            <w:tcW w:w="0" w:type="auto"/>
          </w:tcPr>
          <w:p w:rsidR="00EF3108" w:rsidRPr="002F4438" w:rsidRDefault="00EF3108">
            <w:pPr>
              <w:rPr>
                <w:rFonts w:asciiTheme="majorBidi" w:hAnsiTheme="majorBidi" w:cstheme="majorBidi"/>
                <w:sz w:val="18"/>
                <w:szCs w:val="18"/>
              </w:rPr>
            </w:pPr>
            <w:r w:rsidRPr="002F4438">
              <w:rPr>
                <w:rFonts w:asciiTheme="majorBidi" w:hAnsiTheme="majorBidi" w:cstheme="majorBidi"/>
                <w:sz w:val="18"/>
                <w:szCs w:val="18"/>
              </w:rPr>
              <w:t>768</w:t>
            </w:r>
          </w:p>
        </w:tc>
        <w:tc>
          <w:tcPr>
            <w:tcW w:w="0" w:type="auto"/>
          </w:tcPr>
          <w:p w:rsidR="00EF3108" w:rsidRPr="002F4438" w:rsidRDefault="00EF3108">
            <w:pPr>
              <w:rPr>
                <w:rFonts w:asciiTheme="majorBidi" w:hAnsiTheme="majorBidi" w:cstheme="majorBidi"/>
                <w:sz w:val="18"/>
                <w:szCs w:val="18"/>
              </w:rPr>
            </w:pPr>
            <w:r w:rsidRPr="002F4438">
              <w:rPr>
                <w:rFonts w:asciiTheme="majorBidi" w:hAnsiTheme="majorBidi" w:cstheme="majorBidi"/>
                <w:sz w:val="18"/>
                <w:szCs w:val="18"/>
              </w:rPr>
              <w:t>HC #104-107; DV 1954, Fig. 5:4.</w:t>
            </w:r>
          </w:p>
        </w:tc>
        <w:tc>
          <w:tcPr>
            <w:tcW w:w="0" w:type="auto"/>
          </w:tcPr>
          <w:p w:rsidR="00EF3108" w:rsidRPr="002F4438" w:rsidRDefault="00EF3108">
            <w:pPr>
              <w:rPr>
                <w:rFonts w:asciiTheme="majorBidi" w:hAnsiTheme="majorBidi" w:cstheme="majorBidi"/>
                <w:sz w:val="18"/>
                <w:szCs w:val="18"/>
              </w:rPr>
            </w:pPr>
            <w:r w:rsidRPr="002F4438">
              <w:rPr>
                <w:rFonts w:asciiTheme="majorBidi" w:hAnsiTheme="majorBidi" w:cstheme="majorBidi"/>
                <w:sz w:val="18"/>
                <w:szCs w:val="18"/>
              </w:rPr>
              <w:t>Classic tall cylindrical. HC 297. De Vaux assigned this jar to “</w:t>
            </w:r>
            <w:proofErr w:type="spellStart"/>
            <w:r w:rsidRPr="002F4438">
              <w:rPr>
                <w:rFonts w:asciiTheme="majorBidi" w:hAnsiTheme="majorBidi" w:cstheme="majorBidi"/>
                <w:sz w:val="18"/>
                <w:szCs w:val="18"/>
              </w:rPr>
              <w:t>Niveau</w:t>
            </w:r>
            <w:proofErr w:type="spellEnd"/>
            <w:r w:rsidRPr="002F4438">
              <w:rPr>
                <w:rFonts w:asciiTheme="majorBidi" w:hAnsiTheme="majorBidi" w:cstheme="majorBidi"/>
                <w:sz w:val="18"/>
                <w:szCs w:val="18"/>
              </w:rPr>
              <w:t xml:space="preserve"> II” (Period II). Since this period assignment has no known justification and is among other period assignments of fig. 5 known to be based on flawed and later-corrected assumptions, this Period II assignment is similarly untrustworthy. The authors of HC (p. 48) draw these jars in locus 13 in both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xml:space="preserve"> and II, indicating they understand these jars were first installed in Ib.</w:t>
            </w:r>
          </w:p>
        </w:tc>
        <w:tc>
          <w:tcPr>
            <w:tcW w:w="0" w:type="auto"/>
          </w:tcPr>
          <w:p w:rsidR="00EF3108" w:rsidRPr="002F4438" w:rsidRDefault="00EF3108">
            <w:pPr>
              <w:rPr>
                <w:rFonts w:asciiTheme="majorBidi" w:hAnsiTheme="majorBidi" w:cstheme="majorBidi"/>
                <w:b/>
                <w:bCs/>
                <w:sz w:val="18"/>
                <w:szCs w:val="18"/>
              </w:rPr>
            </w:pPr>
            <w:r w:rsidRPr="002F4438">
              <w:rPr>
                <w:rFonts w:asciiTheme="majorBidi" w:hAnsiTheme="majorBidi" w:cstheme="majorBidi"/>
                <w:b/>
                <w:bCs/>
                <w:sz w:val="18"/>
                <w:szCs w:val="18"/>
              </w:rPr>
              <w:t>Uncertain</w:t>
            </w:r>
          </w:p>
        </w:tc>
      </w:tr>
      <w:tr w:rsidR="00E91D92" w:rsidRPr="002F4438" w:rsidTr="00EF3108">
        <w:tc>
          <w:tcPr>
            <w:tcW w:w="0" w:type="auto"/>
          </w:tcPr>
          <w:p w:rsidR="00EF3108" w:rsidRPr="002F4438" w:rsidRDefault="00EF3108">
            <w:pPr>
              <w:rPr>
                <w:rFonts w:asciiTheme="majorBidi" w:hAnsiTheme="majorBidi" w:cstheme="majorBidi"/>
                <w:b/>
                <w:bCs/>
                <w:sz w:val="18"/>
                <w:szCs w:val="18"/>
              </w:rPr>
            </w:pPr>
            <w:r w:rsidRPr="002F4438">
              <w:rPr>
                <w:rFonts w:asciiTheme="majorBidi" w:hAnsiTheme="majorBidi" w:cstheme="majorBidi"/>
                <w:b/>
                <w:bCs/>
                <w:sz w:val="18"/>
                <w:szCs w:val="18"/>
              </w:rPr>
              <w:t>13</w:t>
            </w:r>
          </w:p>
        </w:tc>
        <w:tc>
          <w:tcPr>
            <w:tcW w:w="0" w:type="auto"/>
          </w:tcPr>
          <w:p w:rsidR="00EF3108" w:rsidRPr="002F4438" w:rsidRDefault="00EF3108">
            <w:pPr>
              <w:rPr>
                <w:rFonts w:asciiTheme="majorBidi" w:hAnsiTheme="majorBidi" w:cstheme="majorBidi"/>
                <w:sz w:val="18"/>
                <w:szCs w:val="18"/>
              </w:rPr>
            </w:pPr>
            <w:r w:rsidRPr="002F4438">
              <w:rPr>
                <w:rFonts w:asciiTheme="majorBidi" w:hAnsiTheme="majorBidi" w:cstheme="majorBidi"/>
                <w:sz w:val="18"/>
                <w:szCs w:val="18"/>
              </w:rPr>
              <w:t>758, 764</w:t>
            </w:r>
          </w:p>
        </w:tc>
        <w:tc>
          <w:tcPr>
            <w:tcW w:w="0" w:type="auto"/>
          </w:tcPr>
          <w:p w:rsidR="00EF3108" w:rsidRPr="002F4438" w:rsidRDefault="00EF3108">
            <w:pPr>
              <w:rPr>
                <w:rFonts w:asciiTheme="majorBidi" w:hAnsiTheme="majorBidi" w:cstheme="majorBidi"/>
                <w:sz w:val="18"/>
                <w:szCs w:val="18"/>
              </w:rPr>
            </w:pPr>
            <w:r w:rsidRPr="002F4438">
              <w:rPr>
                <w:rFonts w:asciiTheme="majorBidi" w:hAnsiTheme="majorBidi" w:cstheme="majorBidi"/>
                <w:sz w:val="18"/>
                <w:szCs w:val="18"/>
              </w:rPr>
              <w:t>HC #104-107</w:t>
            </w:r>
            <w:r w:rsidR="006A21E6" w:rsidRPr="002F4438">
              <w:rPr>
                <w:rFonts w:asciiTheme="majorBidi" w:hAnsiTheme="majorBidi" w:cstheme="majorBidi"/>
                <w:sz w:val="18"/>
                <w:szCs w:val="18"/>
              </w:rPr>
              <w:t>. DV 1954; Plate 11b at right.</w:t>
            </w:r>
          </w:p>
        </w:tc>
        <w:tc>
          <w:tcPr>
            <w:tcW w:w="0" w:type="auto"/>
          </w:tcPr>
          <w:p w:rsidR="00EF3108" w:rsidRPr="002F4438" w:rsidRDefault="00EF3108">
            <w:pPr>
              <w:rPr>
                <w:rFonts w:asciiTheme="majorBidi" w:hAnsiTheme="majorBidi" w:cstheme="majorBidi"/>
                <w:sz w:val="18"/>
                <w:szCs w:val="18"/>
              </w:rPr>
            </w:pPr>
            <w:r w:rsidRPr="002F4438">
              <w:rPr>
                <w:rFonts w:asciiTheme="majorBidi" w:hAnsiTheme="majorBidi" w:cstheme="majorBidi"/>
                <w:sz w:val="18"/>
                <w:szCs w:val="18"/>
              </w:rPr>
              <w:t>Two rounded shoulder scroll jars associated and contemporary with KhQ768 above</w:t>
            </w:r>
          </w:p>
        </w:tc>
        <w:tc>
          <w:tcPr>
            <w:tcW w:w="0" w:type="auto"/>
          </w:tcPr>
          <w:p w:rsidR="00EF3108" w:rsidRPr="002F4438" w:rsidRDefault="006A21E6">
            <w:pPr>
              <w:rPr>
                <w:rFonts w:asciiTheme="majorBidi" w:hAnsiTheme="majorBidi" w:cstheme="majorBidi"/>
                <w:b/>
                <w:bCs/>
                <w:sz w:val="18"/>
                <w:szCs w:val="18"/>
              </w:rPr>
            </w:pPr>
            <w:r w:rsidRPr="002F4438">
              <w:rPr>
                <w:rFonts w:asciiTheme="majorBidi" w:hAnsiTheme="majorBidi" w:cstheme="majorBidi"/>
                <w:b/>
                <w:bCs/>
                <w:sz w:val="18"/>
                <w:szCs w:val="18"/>
              </w:rPr>
              <w:t>Uncertain</w:t>
            </w:r>
          </w:p>
        </w:tc>
      </w:tr>
      <w:tr w:rsidR="00E91D92" w:rsidRPr="002F4438" w:rsidTr="00EF3108">
        <w:tc>
          <w:tcPr>
            <w:tcW w:w="0" w:type="auto"/>
          </w:tcPr>
          <w:p w:rsidR="00EF3108" w:rsidRPr="002F4438" w:rsidRDefault="006A21E6">
            <w:pPr>
              <w:rPr>
                <w:rFonts w:asciiTheme="majorBidi" w:hAnsiTheme="majorBidi" w:cstheme="majorBidi"/>
                <w:b/>
                <w:bCs/>
                <w:sz w:val="18"/>
                <w:szCs w:val="18"/>
              </w:rPr>
            </w:pPr>
            <w:r w:rsidRPr="002F4438">
              <w:rPr>
                <w:rFonts w:asciiTheme="majorBidi" w:hAnsiTheme="majorBidi" w:cstheme="majorBidi"/>
                <w:b/>
                <w:bCs/>
                <w:sz w:val="18"/>
                <w:szCs w:val="18"/>
              </w:rPr>
              <w:t>17</w:t>
            </w:r>
          </w:p>
        </w:tc>
        <w:tc>
          <w:tcPr>
            <w:tcW w:w="0" w:type="auto"/>
          </w:tcPr>
          <w:p w:rsidR="00EF3108" w:rsidRPr="002F4438" w:rsidRDefault="006A21E6">
            <w:pPr>
              <w:rPr>
                <w:rFonts w:asciiTheme="majorBidi" w:hAnsiTheme="majorBidi" w:cstheme="majorBidi"/>
                <w:sz w:val="18"/>
                <w:szCs w:val="18"/>
              </w:rPr>
            </w:pPr>
            <w:r w:rsidRPr="002F4438">
              <w:rPr>
                <w:rFonts w:asciiTheme="majorBidi" w:hAnsiTheme="majorBidi" w:cstheme="majorBidi"/>
                <w:sz w:val="18"/>
                <w:szCs w:val="18"/>
              </w:rPr>
              <w:t>939</w:t>
            </w:r>
          </w:p>
        </w:tc>
        <w:tc>
          <w:tcPr>
            <w:tcW w:w="0" w:type="auto"/>
          </w:tcPr>
          <w:p w:rsidR="00EF3108" w:rsidRPr="002F4438" w:rsidRDefault="006A21E6">
            <w:pPr>
              <w:rPr>
                <w:rFonts w:asciiTheme="majorBidi" w:hAnsiTheme="majorBidi" w:cstheme="majorBidi"/>
                <w:sz w:val="18"/>
                <w:szCs w:val="18"/>
              </w:rPr>
            </w:pPr>
            <w:r w:rsidRPr="002F4438">
              <w:rPr>
                <w:rFonts w:asciiTheme="majorBidi" w:hAnsiTheme="majorBidi" w:cstheme="majorBidi"/>
                <w:sz w:val="18"/>
                <w:szCs w:val="18"/>
              </w:rPr>
              <w:t>DV 1954, Fig. 5:7.</w:t>
            </w:r>
          </w:p>
        </w:tc>
        <w:tc>
          <w:tcPr>
            <w:tcW w:w="0" w:type="auto"/>
          </w:tcPr>
          <w:p w:rsidR="00EF3108" w:rsidRPr="002F4438" w:rsidRDefault="006A21E6">
            <w:pPr>
              <w:rPr>
                <w:rFonts w:asciiTheme="majorBidi" w:hAnsiTheme="majorBidi" w:cstheme="majorBidi"/>
                <w:sz w:val="18"/>
                <w:szCs w:val="18"/>
              </w:rPr>
            </w:pPr>
            <w:r w:rsidRPr="002F4438">
              <w:rPr>
                <w:rFonts w:asciiTheme="majorBidi" w:hAnsiTheme="majorBidi" w:cstheme="majorBidi"/>
                <w:sz w:val="18"/>
                <w:szCs w:val="18"/>
              </w:rPr>
              <w:t>Rounded shoulder. De Vaux assigned this jar to “</w:t>
            </w:r>
            <w:proofErr w:type="spellStart"/>
            <w:r w:rsidRPr="002F4438">
              <w:rPr>
                <w:rFonts w:asciiTheme="majorBidi" w:hAnsiTheme="majorBidi" w:cstheme="majorBidi"/>
                <w:sz w:val="18"/>
                <w:szCs w:val="18"/>
              </w:rPr>
              <w:t>Niveau</w:t>
            </w:r>
            <w:proofErr w:type="spellEnd"/>
            <w:r w:rsidRPr="002F4438">
              <w:rPr>
                <w:rFonts w:asciiTheme="majorBidi" w:hAnsiTheme="majorBidi" w:cstheme="majorBidi"/>
                <w:sz w:val="18"/>
                <w:szCs w:val="18"/>
              </w:rPr>
              <w:t xml:space="preserve"> II” (Period II), but since this period assignment has no known justification and is among other period assignments of fig. 5 known to be based on flawed and later-corrected assumptions, this Period II assignment is similarly untrustworthy.</w:t>
            </w:r>
          </w:p>
        </w:tc>
        <w:tc>
          <w:tcPr>
            <w:tcW w:w="0" w:type="auto"/>
          </w:tcPr>
          <w:p w:rsidR="00EF3108" w:rsidRPr="002F4438" w:rsidRDefault="00E91D92">
            <w:pPr>
              <w:rPr>
                <w:rFonts w:asciiTheme="majorBidi" w:hAnsiTheme="majorBidi" w:cstheme="majorBidi"/>
                <w:b/>
                <w:bCs/>
                <w:sz w:val="18"/>
                <w:szCs w:val="18"/>
              </w:rPr>
            </w:pPr>
            <w:proofErr w:type="spellStart"/>
            <w:r w:rsidRPr="002F4438">
              <w:rPr>
                <w:rFonts w:asciiTheme="majorBidi" w:hAnsiTheme="majorBidi" w:cstheme="majorBidi"/>
                <w:b/>
                <w:bCs/>
                <w:sz w:val="18"/>
                <w:szCs w:val="18"/>
              </w:rPr>
              <w:t>Ib</w:t>
            </w:r>
            <w:proofErr w:type="spellEnd"/>
          </w:p>
        </w:tc>
      </w:tr>
      <w:tr w:rsidR="006A21E6" w:rsidRPr="002F4438" w:rsidTr="00EF3108">
        <w:tc>
          <w:tcPr>
            <w:tcW w:w="0" w:type="auto"/>
          </w:tcPr>
          <w:p w:rsidR="006A21E6" w:rsidRPr="002F4438" w:rsidRDefault="006A21E6">
            <w:pPr>
              <w:rPr>
                <w:rFonts w:asciiTheme="majorBidi" w:hAnsiTheme="majorBidi" w:cstheme="majorBidi"/>
                <w:b/>
                <w:bCs/>
                <w:sz w:val="18"/>
                <w:szCs w:val="18"/>
              </w:rPr>
            </w:pPr>
            <w:r w:rsidRPr="002F4438">
              <w:rPr>
                <w:rFonts w:asciiTheme="majorBidi" w:hAnsiTheme="majorBidi" w:cstheme="majorBidi"/>
                <w:b/>
                <w:bCs/>
                <w:sz w:val="18"/>
                <w:szCs w:val="18"/>
              </w:rPr>
              <w:t>17</w:t>
            </w:r>
          </w:p>
        </w:tc>
        <w:tc>
          <w:tcPr>
            <w:tcW w:w="0" w:type="auto"/>
          </w:tcPr>
          <w:p w:rsidR="006A21E6" w:rsidRPr="002F4438" w:rsidRDefault="006A21E6">
            <w:pPr>
              <w:rPr>
                <w:rFonts w:asciiTheme="majorBidi" w:hAnsiTheme="majorBidi" w:cstheme="majorBidi"/>
                <w:sz w:val="18"/>
                <w:szCs w:val="18"/>
              </w:rPr>
            </w:pPr>
            <w:r w:rsidRPr="002F4438">
              <w:rPr>
                <w:rFonts w:asciiTheme="majorBidi" w:hAnsiTheme="majorBidi" w:cstheme="majorBidi"/>
                <w:sz w:val="18"/>
                <w:szCs w:val="18"/>
              </w:rPr>
              <w:t>794</w:t>
            </w:r>
          </w:p>
        </w:tc>
        <w:tc>
          <w:tcPr>
            <w:tcW w:w="0" w:type="auto"/>
          </w:tcPr>
          <w:p w:rsidR="006A21E6" w:rsidRPr="002F4438" w:rsidRDefault="006A21E6">
            <w:pPr>
              <w:rPr>
                <w:rFonts w:asciiTheme="majorBidi" w:hAnsiTheme="majorBidi" w:cstheme="majorBidi"/>
                <w:sz w:val="18"/>
                <w:szCs w:val="18"/>
              </w:rPr>
            </w:pPr>
          </w:p>
        </w:tc>
        <w:tc>
          <w:tcPr>
            <w:tcW w:w="0" w:type="auto"/>
          </w:tcPr>
          <w:p w:rsidR="006A21E6" w:rsidRPr="002F4438" w:rsidRDefault="006A21E6">
            <w:pPr>
              <w:rPr>
                <w:rFonts w:asciiTheme="majorBidi" w:hAnsiTheme="majorBidi" w:cstheme="majorBidi"/>
                <w:sz w:val="18"/>
                <w:szCs w:val="18"/>
              </w:rPr>
            </w:pPr>
            <w:proofErr w:type="spellStart"/>
            <w:r w:rsidRPr="002F4438">
              <w:rPr>
                <w:rFonts w:asciiTheme="majorBidi" w:hAnsiTheme="majorBidi" w:cstheme="majorBidi"/>
                <w:sz w:val="18"/>
                <w:szCs w:val="18"/>
              </w:rPr>
              <w:t>Gunneweg</w:t>
            </w:r>
            <w:proofErr w:type="spellEnd"/>
            <w:r w:rsidRPr="002F4438">
              <w:rPr>
                <w:rFonts w:asciiTheme="majorBidi" w:hAnsiTheme="majorBidi" w:cstheme="majorBidi"/>
                <w:sz w:val="18"/>
                <w:szCs w:val="18"/>
              </w:rPr>
              <w:t>/</w:t>
            </w:r>
            <w:proofErr w:type="spellStart"/>
            <w:r w:rsidRPr="002F4438">
              <w:rPr>
                <w:rFonts w:asciiTheme="majorBidi" w:hAnsiTheme="majorBidi" w:cstheme="majorBidi"/>
                <w:sz w:val="18"/>
                <w:szCs w:val="18"/>
              </w:rPr>
              <w:t>Balla</w:t>
            </w:r>
            <w:proofErr w:type="spellEnd"/>
            <w:r w:rsidRPr="002F4438">
              <w:rPr>
                <w:rFonts w:asciiTheme="majorBidi" w:hAnsiTheme="majorBidi" w:cstheme="majorBidi"/>
                <w:sz w:val="18"/>
                <w:szCs w:val="18"/>
              </w:rPr>
              <w:t xml:space="preserve"> </w:t>
            </w:r>
            <w:proofErr w:type="gramStart"/>
            <w:r w:rsidRPr="002F4438">
              <w:rPr>
                <w:rFonts w:asciiTheme="majorBidi" w:hAnsiTheme="majorBidi" w:cstheme="majorBidi"/>
                <w:sz w:val="18"/>
                <w:szCs w:val="18"/>
              </w:rPr>
              <w:t>refer</w:t>
            </w:r>
            <w:proofErr w:type="gramEnd"/>
            <w:r w:rsidRPr="002F4438">
              <w:rPr>
                <w:rFonts w:asciiTheme="majorBidi" w:hAnsiTheme="majorBidi" w:cstheme="majorBidi"/>
                <w:sz w:val="18"/>
                <w:szCs w:val="18"/>
              </w:rPr>
              <w:t xml:space="preserve"> to a “scroll jar” buried in the glacis of the tower (HG 29). This jar is identified as KhQ794 of locus 17 (</w:t>
            </w:r>
            <w:proofErr w:type="spellStart"/>
            <w:r w:rsidRPr="002F4438">
              <w:rPr>
                <w:rFonts w:asciiTheme="majorBidi" w:hAnsiTheme="majorBidi" w:cstheme="majorBidi"/>
                <w:sz w:val="18"/>
                <w:szCs w:val="18"/>
              </w:rPr>
              <w:t>Pfann</w:t>
            </w:r>
            <w:proofErr w:type="spellEnd"/>
            <w:r w:rsidRPr="002F4438">
              <w:rPr>
                <w:rFonts w:asciiTheme="majorBidi" w:hAnsiTheme="majorBidi" w:cstheme="majorBidi"/>
                <w:sz w:val="18"/>
                <w:szCs w:val="18"/>
              </w:rPr>
              <w:t xml:space="preserve"> 2003, 19 note 31). Although de Vaux thought the glacis was constructed secondarily in Period II (thus dating the jar used as building material either to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xml:space="preserve"> or the start of II), </w:t>
            </w:r>
            <w:proofErr w:type="spellStart"/>
            <w:r w:rsidRPr="002F4438">
              <w:rPr>
                <w:rFonts w:asciiTheme="majorBidi" w:hAnsiTheme="majorBidi" w:cstheme="majorBidi"/>
                <w:sz w:val="18"/>
                <w:szCs w:val="18"/>
              </w:rPr>
              <w:t>Hirschfeld</w:t>
            </w:r>
            <w:proofErr w:type="spellEnd"/>
            <w:r w:rsidRPr="002F4438">
              <w:rPr>
                <w:rFonts w:asciiTheme="majorBidi" w:hAnsiTheme="majorBidi" w:cstheme="majorBidi"/>
                <w:sz w:val="18"/>
                <w:szCs w:val="18"/>
              </w:rPr>
              <w:t xml:space="preserve"> has shown that the glacis was constructed when the tower was built, in de Vaux’s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xml:space="preserve"> (</w:t>
            </w:r>
            <w:proofErr w:type="spellStart"/>
            <w:r w:rsidRPr="002F4438">
              <w:rPr>
                <w:rFonts w:asciiTheme="majorBidi" w:hAnsiTheme="majorBidi" w:cstheme="majorBidi"/>
                <w:sz w:val="18"/>
                <w:szCs w:val="18"/>
              </w:rPr>
              <w:t>Hirschfeld</w:t>
            </w:r>
            <w:proofErr w:type="spellEnd"/>
            <w:r w:rsidRPr="002F4438">
              <w:rPr>
                <w:rFonts w:asciiTheme="majorBidi" w:hAnsiTheme="majorBidi" w:cstheme="majorBidi"/>
                <w:sz w:val="18"/>
                <w:szCs w:val="18"/>
              </w:rPr>
              <w:t xml:space="preserve"> 2004b, 69-72).</w:t>
            </w:r>
          </w:p>
        </w:tc>
        <w:tc>
          <w:tcPr>
            <w:tcW w:w="0" w:type="auto"/>
          </w:tcPr>
          <w:p w:rsidR="006A21E6" w:rsidRPr="002F4438" w:rsidRDefault="006A21E6">
            <w:pPr>
              <w:rPr>
                <w:rFonts w:asciiTheme="majorBidi" w:hAnsiTheme="majorBidi" w:cstheme="majorBidi"/>
                <w:b/>
                <w:bCs/>
                <w:sz w:val="18"/>
                <w:szCs w:val="18"/>
              </w:rPr>
            </w:pPr>
            <w:proofErr w:type="spellStart"/>
            <w:r w:rsidRPr="002F4438">
              <w:rPr>
                <w:rFonts w:asciiTheme="majorBidi" w:hAnsiTheme="majorBidi" w:cstheme="majorBidi"/>
                <w:b/>
                <w:bCs/>
                <w:sz w:val="18"/>
                <w:szCs w:val="18"/>
              </w:rPr>
              <w:t>Ib</w:t>
            </w:r>
            <w:proofErr w:type="spellEnd"/>
          </w:p>
        </w:tc>
      </w:tr>
      <w:tr w:rsidR="00E91D92" w:rsidRPr="002F4438" w:rsidTr="00EF3108">
        <w:tc>
          <w:tcPr>
            <w:tcW w:w="0" w:type="auto"/>
          </w:tcPr>
          <w:p w:rsidR="00EF3108" w:rsidRPr="002F4438" w:rsidRDefault="006A21E6">
            <w:pPr>
              <w:rPr>
                <w:rFonts w:asciiTheme="majorBidi" w:hAnsiTheme="majorBidi" w:cstheme="majorBidi"/>
                <w:b/>
                <w:bCs/>
                <w:sz w:val="18"/>
                <w:szCs w:val="18"/>
              </w:rPr>
            </w:pPr>
            <w:r w:rsidRPr="002F4438">
              <w:rPr>
                <w:rFonts w:asciiTheme="majorBidi" w:hAnsiTheme="majorBidi" w:cstheme="majorBidi"/>
                <w:b/>
                <w:bCs/>
                <w:sz w:val="18"/>
                <w:szCs w:val="18"/>
              </w:rPr>
              <w:t>41</w:t>
            </w:r>
          </w:p>
        </w:tc>
        <w:tc>
          <w:tcPr>
            <w:tcW w:w="0" w:type="auto"/>
          </w:tcPr>
          <w:p w:rsidR="00EF3108" w:rsidRPr="002F4438" w:rsidRDefault="006A21E6">
            <w:pPr>
              <w:rPr>
                <w:rFonts w:asciiTheme="majorBidi" w:hAnsiTheme="majorBidi" w:cstheme="majorBidi"/>
                <w:sz w:val="18"/>
                <w:szCs w:val="18"/>
              </w:rPr>
            </w:pPr>
            <w:r w:rsidRPr="002F4438">
              <w:rPr>
                <w:rFonts w:asciiTheme="majorBidi" w:hAnsiTheme="majorBidi" w:cstheme="majorBidi"/>
                <w:sz w:val="18"/>
                <w:szCs w:val="18"/>
              </w:rPr>
              <w:t>2989</w:t>
            </w:r>
          </w:p>
        </w:tc>
        <w:tc>
          <w:tcPr>
            <w:tcW w:w="0" w:type="auto"/>
          </w:tcPr>
          <w:p w:rsidR="00EF3108" w:rsidRPr="002F4438" w:rsidRDefault="006A21E6">
            <w:pPr>
              <w:rPr>
                <w:rFonts w:asciiTheme="majorBidi" w:hAnsiTheme="majorBidi" w:cstheme="majorBidi"/>
                <w:sz w:val="18"/>
                <w:szCs w:val="18"/>
              </w:rPr>
            </w:pPr>
            <w:r w:rsidRPr="002F4438">
              <w:rPr>
                <w:rFonts w:asciiTheme="majorBidi" w:hAnsiTheme="majorBidi" w:cstheme="majorBidi"/>
                <w:sz w:val="18"/>
                <w:szCs w:val="18"/>
              </w:rPr>
              <w:t>HG 15</w:t>
            </w:r>
          </w:p>
        </w:tc>
        <w:tc>
          <w:tcPr>
            <w:tcW w:w="0" w:type="auto"/>
          </w:tcPr>
          <w:p w:rsidR="00EF3108" w:rsidRPr="002F4438" w:rsidRDefault="006A21E6">
            <w:pPr>
              <w:rPr>
                <w:rFonts w:asciiTheme="majorBidi" w:hAnsiTheme="majorBidi" w:cstheme="majorBidi"/>
                <w:sz w:val="18"/>
                <w:szCs w:val="18"/>
              </w:rPr>
            </w:pPr>
            <w:proofErr w:type="spellStart"/>
            <w:r w:rsidRPr="002F4438">
              <w:rPr>
                <w:rFonts w:asciiTheme="majorBidi" w:hAnsiTheme="majorBidi" w:cstheme="majorBidi"/>
                <w:sz w:val="18"/>
                <w:szCs w:val="18"/>
              </w:rPr>
              <w:t>Gunneweg</w:t>
            </w:r>
            <w:proofErr w:type="spellEnd"/>
            <w:r w:rsidRPr="002F4438">
              <w:rPr>
                <w:rFonts w:asciiTheme="majorBidi" w:hAnsiTheme="majorBidi" w:cstheme="majorBidi"/>
                <w:sz w:val="18"/>
                <w:szCs w:val="18"/>
              </w:rPr>
              <w:t>/</w:t>
            </w:r>
            <w:proofErr w:type="spellStart"/>
            <w:r w:rsidRPr="002F4438">
              <w:rPr>
                <w:rFonts w:asciiTheme="majorBidi" w:hAnsiTheme="majorBidi" w:cstheme="majorBidi"/>
                <w:sz w:val="18"/>
                <w:szCs w:val="18"/>
              </w:rPr>
              <w:t>Balla</w:t>
            </w:r>
            <w:proofErr w:type="spellEnd"/>
            <w:r w:rsidRPr="002F4438">
              <w:rPr>
                <w:rFonts w:asciiTheme="majorBidi" w:hAnsiTheme="majorBidi" w:cstheme="majorBidi"/>
                <w:sz w:val="18"/>
                <w:szCs w:val="18"/>
              </w:rPr>
              <w:t xml:space="preserve"> </w:t>
            </w:r>
            <w:proofErr w:type="gramStart"/>
            <w:r w:rsidRPr="002F4438">
              <w:rPr>
                <w:rFonts w:asciiTheme="majorBidi" w:hAnsiTheme="majorBidi" w:cstheme="majorBidi"/>
                <w:sz w:val="18"/>
                <w:szCs w:val="18"/>
              </w:rPr>
              <w:t>identify</w:t>
            </w:r>
            <w:proofErr w:type="gramEnd"/>
            <w:r w:rsidRPr="002F4438">
              <w:rPr>
                <w:rFonts w:asciiTheme="majorBidi" w:hAnsiTheme="majorBidi" w:cstheme="majorBidi"/>
                <w:sz w:val="18"/>
                <w:szCs w:val="18"/>
              </w:rPr>
              <w:t xml:space="preserve"> this tall cylindrical jar as a “</w:t>
            </w:r>
            <w:proofErr w:type="spellStart"/>
            <w:r w:rsidRPr="002F4438">
              <w:rPr>
                <w:rFonts w:asciiTheme="majorBidi" w:hAnsiTheme="majorBidi" w:cstheme="majorBidi"/>
                <w:sz w:val="18"/>
                <w:szCs w:val="18"/>
              </w:rPr>
              <w:t>bursted</w:t>
            </w:r>
            <w:proofErr w:type="spellEnd"/>
            <w:r w:rsidRPr="002F4438">
              <w:rPr>
                <w:rFonts w:asciiTheme="majorBidi" w:hAnsiTheme="majorBidi" w:cstheme="majorBidi"/>
                <w:sz w:val="18"/>
                <w:szCs w:val="18"/>
              </w:rPr>
              <w:t xml:space="preserve"> scroll jar” from locus 41 (HG 45; locus 44 on p. 15 appears to be a misprint). De Vaux’s notes for locus 41 refer to a sounding in 1956 later than the low-numbered finds listed at that locus from 1953 (compare locus 38). The 1956 digging appears to be the source of KhQ2989. The 1956 sounding “belongs to Period I” (</w:t>
            </w:r>
            <w:proofErr w:type="spellStart"/>
            <w:r w:rsidRPr="002F4438">
              <w:rPr>
                <w:rFonts w:asciiTheme="majorBidi" w:hAnsiTheme="majorBidi" w:cstheme="majorBidi"/>
                <w:sz w:val="18"/>
                <w:szCs w:val="18"/>
              </w:rPr>
              <w:t>Pfann</w:t>
            </w:r>
            <w:proofErr w:type="spellEnd"/>
            <w:r w:rsidRPr="002F4438">
              <w:rPr>
                <w:rFonts w:asciiTheme="majorBidi" w:hAnsiTheme="majorBidi" w:cstheme="majorBidi"/>
                <w:sz w:val="18"/>
                <w:szCs w:val="18"/>
              </w:rPr>
              <w:t xml:space="preserve"> 2003, 27).</w:t>
            </w:r>
          </w:p>
        </w:tc>
        <w:tc>
          <w:tcPr>
            <w:tcW w:w="0" w:type="auto"/>
          </w:tcPr>
          <w:p w:rsidR="00EF3108" w:rsidRPr="002F4438" w:rsidRDefault="006A21E6">
            <w:pPr>
              <w:rPr>
                <w:rFonts w:asciiTheme="majorBidi" w:hAnsiTheme="majorBidi" w:cstheme="majorBidi"/>
                <w:b/>
                <w:bCs/>
                <w:sz w:val="18"/>
                <w:szCs w:val="18"/>
              </w:rPr>
            </w:pPr>
            <w:proofErr w:type="spellStart"/>
            <w:r w:rsidRPr="002F4438">
              <w:rPr>
                <w:rFonts w:asciiTheme="majorBidi" w:hAnsiTheme="majorBidi" w:cstheme="majorBidi"/>
                <w:b/>
                <w:bCs/>
                <w:sz w:val="18"/>
                <w:szCs w:val="18"/>
              </w:rPr>
              <w:t>Ib</w:t>
            </w:r>
            <w:proofErr w:type="spellEnd"/>
          </w:p>
        </w:tc>
      </w:tr>
      <w:tr w:rsidR="00E91D92" w:rsidRPr="002F4438" w:rsidTr="00EF3108">
        <w:tc>
          <w:tcPr>
            <w:tcW w:w="0" w:type="auto"/>
          </w:tcPr>
          <w:p w:rsidR="00EF3108" w:rsidRPr="002F4438" w:rsidRDefault="006A21E6">
            <w:pPr>
              <w:rPr>
                <w:rFonts w:asciiTheme="majorBidi" w:hAnsiTheme="majorBidi" w:cstheme="majorBidi"/>
                <w:b/>
                <w:bCs/>
                <w:sz w:val="18"/>
                <w:szCs w:val="18"/>
              </w:rPr>
            </w:pPr>
            <w:r w:rsidRPr="002F4438">
              <w:rPr>
                <w:rFonts w:asciiTheme="majorBidi" w:hAnsiTheme="majorBidi" w:cstheme="majorBidi"/>
                <w:b/>
                <w:bCs/>
                <w:sz w:val="18"/>
                <w:szCs w:val="18"/>
              </w:rPr>
              <w:t>45a</w:t>
            </w:r>
          </w:p>
        </w:tc>
        <w:tc>
          <w:tcPr>
            <w:tcW w:w="0" w:type="auto"/>
          </w:tcPr>
          <w:p w:rsidR="00EF3108" w:rsidRPr="002F4438" w:rsidRDefault="006A21E6">
            <w:pPr>
              <w:rPr>
                <w:rFonts w:asciiTheme="majorBidi" w:hAnsiTheme="majorBidi" w:cstheme="majorBidi"/>
                <w:sz w:val="18"/>
                <w:szCs w:val="18"/>
              </w:rPr>
            </w:pPr>
            <w:r w:rsidRPr="002F4438">
              <w:rPr>
                <w:rFonts w:asciiTheme="majorBidi" w:hAnsiTheme="majorBidi" w:cstheme="majorBidi"/>
                <w:sz w:val="18"/>
                <w:szCs w:val="18"/>
              </w:rPr>
              <w:t>799 (?)</w:t>
            </w:r>
          </w:p>
        </w:tc>
        <w:tc>
          <w:tcPr>
            <w:tcW w:w="0" w:type="auto"/>
          </w:tcPr>
          <w:p w:rsidR="00EF3108" w:rsidRPr="002F4438" w:rsidRDefault="00EF3108">
            <w:pPr>
              <w:rPr>
                <w:rFonts w:asciiTheme="majorBidi" w:hAnsiTheme="majorBidi" w:cstheme="majorBidi"/>
                <w:sz w:val="18"/>
                <w:szCs w:val="18"/>
              </w:rPr>
            </w:pPr>
          </w:p>
        </w:tc>
        <w:tc>
          <w:tcPr>
            <w:tcW w:w="0" w:type="auto"/>
          </w:tcPr>
          <w:p w:rsidR="00EF3108" w:rsidRPr="002F4438" w:rsidRDefault="006A21E6">
            <w:pPr>
              <w:rPr>
                <w:rFonts w:asciiTheme="majorBidi" w:hAnsiTheme="majorBidi" w:cstheme="majorBidi"/>
                <w:sz w:val="18"/>
                <w:szCs w:val="18"/>
              </w:rPr>
            </w:pPr>
            <w:r w:rsidRPr="002F4438">
              <w:rPr>
                <w:rFonts w:asciiTheme="majorBidi" w:hAnsiTheme="majorBidi" w:cstheme="majorBidi"/>
                <w:sz w:val="18"/>
                <w:szCs w:val="18"/>
              </w:rPr>
              <w:t>Classic tall cylindrical. Found in the southeastern pottery annex. HC photo #356 shows this jar with what appears to be an ovoid Jericho type 2A jar (= DV 1954, Fig. 5:8). As with the other fig. 5 jars, de Vaux claimed the fig. 5:8 jar was “</w:t>
            </w:r>
            <w:proofErr w:type="spellStart"/>
            <w:r w:rsidRPr="002F4438">
              <w:rPr>
                <w:rFonts w:asciiTheme="majorBidi" w:hAnsiTheme="majorBidi" w:cstheme="majorBidi"/>
                <w:sz w:val="18"/>
                <w:szCs w:val="18"/>
              </w:rPr>
              <w:t>Niveau</w:t>
            </w:r>
            <w:proofErr w:type="spellEnd"/>
            <w:r w:rsidRPr="002F4438">
              <w:rPr>
                <w:rFonts w:asciiTheme="majorBidi" w:hAnsiTheme="majorBidi" w:cstheme="majorBidi"/>
                <w:sz w:val="18"/>
                <w:szCs w:val="18"/>
              </w:rPr>
              <w:t xml:space="preserve"> II” at a time when he thought </w:t>
            </w:r>
            <w:proofErr w:type="gramStart"/>
            <w:r w:rsidRPr="002F4438">
              <w:rPr>
                <w:rFonts w:asciiTheme="majorBidi" w:hAnsiTheme="majorBidi" w:cstheme="majorBidi"/>
                <w:sz w:val="18"/>
                <w:szCs w:val="18"/>
              </w:rPr>
              <w:t>all of the</w:t>
            </w:r>
            <w:proofErr w:type="gramEnd"/>
            <w:r w:rsidRPr="002F4438">
              <w:rPr>
                <w:rFonts w:asciiTheme="majorBidi" w:hAnsiTheme="majorBidi" w:cstheme="majorBidi"/>
                <w:sz w:val="18"/>
                <w:szCs w:val="18"/>
              </w:rPr>
              <w:t xml:space="preserve"> southeastern pottery annex was only Period II. When de Vaux corrected the dating of the southeastern pottery annex to both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xml:space="preserve"> and II in 1956 the basis for the fig. 5:8 jar attribution to II was removed. At Jericho the ovoid jars (J-SJ2A) </w:t>
            </w:r>
            <w:r w:rsidRPr="002F4438">
              <w:rPr>
                <w:rFonts w:asciiTheme="majorBidi" w:hAnsiTheme="majorBidi" w:cstheme="majorBidi"/>
                <w:sz w:val="18"/>
                <w:szCs w:val="18"/>
              </w:rPr>
              <w:lastRenderedPageBreak/>
              <w:t xml:space="preserve">are attested </w:t>
            </w:r>
            <w:proofErr w:type="spellStart"/>
            <w:r w:rsidRPr="002F4438">
              <w:rPr>
                <w:rFonts w:asciiTheme="majorBidi" w:hAnsiTheme="majorBidi" w:cstheme="majorBidi"/>
                <w:sz w:val="18"/>
                <w:szCs w:val="18"/>
              </w:rPr>
              <w:t>exlclusively</w:t>
            </w:r>
            <w:proofErr w:type="spellEnd"/>
            <w:r w:rsidRPr="002F4438">
              <w:rPr>
                <w:rFonts w:asciiTheme="majorBidi" w:hAnsiTheme="majorBidi" w:cstheme="majorBidi"/>
                <w:sz w:val="18"/>
                <w:szCs w:val="18"/>
              </w:rPr>
              <w:t xml:space="preserve"> first century BCE (Bar-Nathan 2002, 27 and 150). </w:t>
            </w:r>
            <w:proofErr w:type="spellStart"/>
            <w:r w:rsidR="00571412" w:rsidRPr="002F4438">
              <w:rPr>
                <w:rFonts w:asciiTheme="majorBidi" w:hAnsiTheme="majorBidi" w:cstheme="majorBidi"/>
                <w:sz w:val="18"/>
                <w:szCs w:val="18"/>
              </w:rPr>
              <w:t>Gunneweg</w:t>
            </w:r>
            <w:proofErr w:type="spellEnd"/>
            <w:r w:rsidR="00571412" w:rsidRPr="002F4438">
              <w:rPr>
                <w:rFonts w:asciiTheme="majorBidi" w:hAnsiTheme="majorBidi" w:cstheme="majorBidi"/>
                <w:sz w:val="18"/>
                <w:szCs w:val="18"/>
              </w:rPr>
              <w:t>/</w:t>
            </w:r>
            <w:proofErr w:type="spellStart"/>
            <w:r w:rsidR="00571412" w:rsidRPr="002F4438">
              <w:rPr>
                <w:rFonts w:asciiTheme="majorBidi" w:hAnsiTheme="majorBidi" w:cstheme="majorBidi"/>
                <w:sz w:val="18"/>
                <w:szCs w:val="18"/>
              </w:rPr>
              <w:t>Balla</w:t>
            </w:r>
            <w:proofErr w:type="spellEnd"/>
            <w:r w:rsidR="00571412" w:rsidRPr="002F4438">
              <w:rPr>
                <w:rFonts w:asciiTheme="majorBidi" w:hAnsiTheme="majorBidi" w:cstheme="majorBidi"/>
                <w:sz w:val="18"/>
                <w:szCs w:val="18"/>
              </w:rPr>
              <w:t xml:space="preserve"> comment: “Rachel Bar-Nathan has presented the theory that an ovoid </w:t>
            </w:r>
            <w:proofErr w:type="spellStart"/>
            <w:r w:rsidR="00571412" w:rsidRPr="002F4438">
              <w:rPr>
                <w:rFonts w:asciiTheme="majorBidi" w:hAnsiTheme="majorBidi" w:cstheme="majorBidi"/>
                <w:sz w:val="18"/>
                <w:szCs w:val="18"/>
              </w:rPr>
              <w:t>jr</w:t>
            </w:r>
            <w:proofErr w:type="spellEnd"/>
            <w:r w:rsidR="00571412" w:rsidRPr="002F4438">
              <w:rPr>
                <w:rFonts w:asciiTheme="majorBidi" w:hAnsiTheme="majorBidi" w:cstheme="majorBidi"/>
                <w:sz w:val="18"/>
                <w:szCs w:val="18"/>
              </w:rPr>
              <w:t xml:space="preserve"> is a </w:t>
            </w:r>
            <w:proofErr w:type="spellStart"/>
            <w:r w:rsidR="00571412" w:rsidRPr="002F4438">
              <w:rPr>
                <w:rFonts w:asciiTheme="majorBidi" w:hAnsiTheme="majorBidi" w:cstheme="majorBidi"/>
                <w:sz w:val="18"/>
                <w:szCs w:val="18"/>
              </w:rPr>
              <w:t>Hasmonean</w:t>
            </w:r>
            <w:proofErr w:type="spellEnd"/>
            <w:r w:rsidR="00571412" w:rsidRPr="002F4438">
              <w:rPr>
                <w:rFonts w:asciiTheme="majorBidi" w:hAnsiTheme="majorBidi" w:cstheme="majorBidi"/>
                <w:sz w:val="18"/>
                <w:szCs w:val="18"/>
              </w:rPr>
              <w:t xml:space="preserve"> ‘scroll jar’ whereas the cylindrical jar is a </w:t>
            </w:r>
            <w:proofErr w:type="spellStart"/>
            <w:r w:rsidR="00571412" w:rsidRPr="002F4438">
              <w:rPr>
                <w:rFonts w:asciiTheme="majorBidi" w:hAnsiTheme="majorBidi" w:cstheme="majorBidi"/>
                <w:sz w:val="18"/>
                <w:szCs w:val="18"/>
              </w:rPr>
              <w:t>Herodian</w:t>
            </w:r>
            <w:proofErr w:type="spellEnd"/>
            <w:r w:rsidR="00571412" w:rsidRPr="002F4438">
              <w:rPr>
                <w:rFonts w:asciiTheme="majorBidi" w:hAnsiTheme="majorBidi" w:cstheme="majorBidi"/>
                <w:sz w:val="18"/>
                <w:szCs w:val="18"/>
              </w:rPr>
              <w:t xml:space="preserve"> ‘scroll jar”, thus is chronologically later. Cylindrical jars found in the scroll caves, among which Cave 8 that contained most of the sampled jars in this study, coincided with the presence of ovoid jars found in the </w:t>
            </w:r>
            <w:proofErr w:type="spellStart"/>
            <w:r w:rsidR="00571412" w:rsidRPr="002F4438">
              <w:rPr>
                <w:rFonts w:asciiTheme="majorBidi" w:hAnsiTheme="majorBidi" w:cstheme="majorBidi"/>
                <w:sz w:val="18"/>
                <w:szCs w:val="18"/>
              </w:rPr>
              <w:t>khirbeh</w:t>
            </w:r>
            <w:proofErr w:type="spellEnd"/>
            <w:r w:rsidR="00571412" w:rsidRPr="002F4438">
              <w:rPr>
                <w:rFonts w:asciiTheme="majorBidi" w:hAnsiTheme="majorBidi" w:cstheme="majorBidi"/>
                <w:sz w:val="18"/>
                <w:szCs w:val="18"/>
              </w:rPr>
              <w:t xml:space="preserve">. </w:t>
            </w:r>
            <w:proofErr w:type="spellStart"/>
            <w:r w:rsidR="00571412" w:rsidRPr="002F4438">
              <w:rPr>
                <w:rFonts w:asciiTheme="majorBidi" w:hAnsiTheme="majorBidi" w:cstheme="majorBidi"/>
                <w:sz w:val="18"/>
                <w:szCs w:val="18"/>
              </w:rPr>
              <w:t>Ovoiod</w:t>
            </w:r>
            <w:proofErr w:type="spellEnd"/>
            <w:r w:rsidR="00571412" w:rsidRPr="002F4438">
              <w:rPr>
                <w:rFonts w:asciiTheme="majorBidi" w:hAnsiTheme="majorBidi" w:cstheme="majorBidi"/>
                <w:sz w:val="18"/>
                <w:szCs w:val="18"/>
              </w:rPr>
              <w:t xml:space="preserve"> jars are generally lacking in the caves. This means that the scrolls were buried in the cylindrical jars while the ovoid jars were used as store jars in the </w:t>
            </w:r>
            <w:proofErr w:type="spellStart"/>
            <w:r w:rsidR="00571412" w:rsidRPr="002F4438">
              <w:rPr>
                <w:rFonts w:asciiTheme="majorBidi" w:hAnsiTheme="majorBidi" w:cstheme="majorBidi"/>
                <w:sz w:val="18"/>
                <w:szCs w:val="18"/>
              </w:rPr>
              <w:t>khirbeh</w:t>
            </w:r>
            <w:proofErr w:type="spellEnd"/>
            <w:r w:rsidR="00571412" w:rsidRPr="002F4438">
              <w:rPr>
                <w:rFonts w:asciiTheme="majorBidi" w:hAnsiTheme="majorBidi" w:cstheme="majorBidi"/>
                <w:sz w:val="18"/>
                <w:szCs w:val="18"/>
              </w:rPr>
              <w:t xml:space="preserve">. The simultaneous occurrence diminishes the chronological division into </w:t>
            </w:r>
            <w:proofErr w:type="spellStart"/>
            <w:r w:rsidR="00571412" w:rsidRPr="002F4438">
              <w:rPr>
                <w:rFonts w:asciiTheme="majorBidi" w:hAnsiTheme="majorBidi" w:cstheme="majorBidi"/>
                <w:sz w:val="18"/>
                <w:szCs w:val="18"/>
              </w:rPr>
              <w:t>Hasmonean</w:t>
            </w:r>
            <w:proofErr w:type="spellEnd"/>
            <w:r w:rsidR="00571412" w:rsidRPr="002F4438">
              <w:rPr>
                <w:rFonts w:asciiTheme="majorBidi" w:hAnsiTheme="majorBidi" w:cstheme="majorBidi"/>
                <w:sz w:val="18"/>
                <w:szCs w:val="18"/>
              </w:rPr>
              <w:t xml:space="preserve"> and </w:t>
            </w:r>
            <w:proofErr w:type="spellStart"/>
            <w:r w:rsidR="00571412" w:rsidRPr="002F4438">
              <w:rPr>
                <w:rFonts w:asciiTheme="majorBidi" w:hAnsiTheme="majorBidi" w:cstheme="majorBidi"/>
                <w:sz w:val="18"/>
                <w:szCs w:val="18"/>
              </w:rPr>
              <w:t>Herodian</w:t>
            </w:r>
            <w:proofErr w:type="spellEnd"/>
            <w:r w:rsidR="00571412" w:rsidRPr="002F4438">
              <w:rPr>
                <w:rFonts w:asciiTheme="majorBidi" w:hAnsiTheme="majorBidi" w:cstheme="majorBidi"/>
                <w:sz w:val="18"/>
                <w:szCs w:val="18"/>
              </w:rPr>
              <w:t xml:space="preserve"> scroll jars” (</w:t>
            </w:r>
            <w:proofErr w:type="spellStart"/>
            <w:r w:rsidR="00571412" w:rsidRPr="002F4438">
              <w:rPr>
                <w:rFonts w:asciiTheme="majorBidi" w:hAnsiTheme="majorBidi" w:cstheme="majorBidi"/>
                <w:sz w:val="18"/>
                <w:szCs w:val="18"/>
              </w:rPr>
              <w:t>Gunneweg</w:t>
            </w:r>
            <w:proofErr w:type="spellEnd"/>
            <w:r w:rsidR="00571412" w:rsidRPr="002F4438">
              <w:rPr>
                <w:rFonts w:asciiTheme="majorBidi" w:hAnsiTheme="majorBidi" w:cstheme="majorBidi"/>
                <w:sz w:val="18"/>
                <w:szCs w:val="18"/>
              </w:rPr>
              <w:t>/</w:t>
            </w:r>
            <w:proofErr w:type="spellStart"/>
            <w:r w:rsidR="00571412" w:rsidRPr="002F4438">
              <w:rPr>
                <w:rFonts w:asciiTheme="majorBidi" w:hAnsiTheme="majorBidi" w:cstheme="majorBidi"/>
                <w:sz w:val="18"/>
                <w:szCs w:val="18"/>
              </w:rPr>
              <w:t>Balla</w:t>
            </w:r>
            <w:proofErr w:type="spellEnd"/>
            <w:r w:rsidR="00571412" w:rsidRPr="002F4438">
              <w:rPr>
                <w:rFonts w:asciiTheme="majorBidi" w:hAnsiTheme="majorBidi" w:cstheme="majorBidi"/>
                <w:sz w:val="18"/>
                <w:szCs w:val="18"/>
              </w:rPr>
              <w:t>, HG 16).</w:t>
            </w:r>
          </w:p>
        </w:tc>
        <w:tc>
          <w:tcPr>
            <w:tcW w:w="0" w:type="auto"/>
          </w:tcPr>
          <w:p w:rsidR="00EF3108" w:rsidRPr="002F4438" w:rsidRDefault="00571412">
            <w:pPr>
              <w:rPr>
                <w:rFonts w:asciiTheme="majorBidi" w:hAnsiTheme="majorBidi" w:cstheme="majorBidi"/>
                <w:b/>
                <w:bCs/>
                <w:sz w:val="18"/>
                <w:szCs w:val="18"/>
              </w:rPr>
            </w:pPr>
            <w:proofErr w:type="spellStart"/>
            <w:r w:rsidRPr="002F4438">
              <w:rPr>
                <w:rFonts w:asciiTheme="majorBidi" w:hAnsiTheme="majorBidi" w:cstheme="majorBidi"/>
                <w:b/>
                <w:bCs/>
                <w:sz w:val="18"/>
                <w:szCs w:val="18"/>
              </w:rPr>
              <w:lastRenderedPageBreak/>
              <w:t>Ib</w:t>
            </w:r>
            <w:proofErr w:type="spellEnd"/>
          </w:p>
        </w:tc>
      </w:tr>
      <w:tr w:rsidR="00E91D92" w:rsidRPr="002F4438" w:rsidTr="00EF3108">
        <w:tc>
          <w:tcPr>
            <w:tcW w:w="0" w:type="auto"/>
          </w:tcPr>
          <w:p w:rsidR="00EF3108" w:rsidRPr="002F4438" w:rsidRDefault="00571412">
            <w:pPr>
              <w:rPr>
                <w:rFonts w:asciiTheme="majorBidi" w:hAnsiTheme="majorBidi" w:cstheme="majorBidi"/>
                <w:b/>
                <w:bCs/>
                <w:sz w:val="18"/>
                <w:szCs w:val="18"/>
              </w:rPr>
            </w:pPr>
            <w:r w:rsidRPr="002F4438">
              <w:rPr>
                <w:rFonts w:asciiTheme="majorBidi" w:hAnsiTheme="majorBidi" w:cstheme="majorBidi"/>
                <w:b/>
                <w:bCs/>
                <w:sz w:val="18"/>
                <w:szCs w:val="18"/>
              </w:rPr>
              <w:lastRenderedPageBreak/>
              <w:t>61</w:t>
            </w:r>
          </w:p>
        </w:tc>
        <w:tc>
          <w:tcPr>
            <w:tcW w:w="0" w:type="auto"/>
          </w:tcPr>
          <w:p w:rsidR="00EF3108" w:rsidRPr="002F4438" w:rsidRDefault="00571412">
            <w:pPr>
              <w:rPr>
                <w:rFonts w:asciiTheme="majorBidi" w:hAnsiTheme="majorBidi" w:cstheme="majorBidi"/>
                <w:sz w:val="18"/>
                <w:szCs w:val="18"/>
              </w:rPr>
            </w:pPr>
            <w:r w:rsidRPr="002F4438">
              <w:rPr>
                <w:rFonts w:asciiTheme="majorBidi" w:hAnsiTheme="majorBidi" w:cstheme="majorBidi"/>
                <w:sz w:val="18"/>
                <w:szCs w:val="18"/>
              </w:rPr>
              <w:t>1474</w:t>
            </w:r>
          </w:p>
        </w:tc>
        <w:tc>
          <w:tcPr>
            <w:tcW w:w="0" w:type="auto"/>
          </w:tcPr>
          <w:p w:rsidR="00EF3108" w:rsidRPr="002F4438" w:rsidRDefault="00571412">
            <w:pPr>
              <w:rPr>
                <w:rFonts w:asciiTheme="majorBidi" w:hAnsiTheme="majorBidi" w:cstheme="majorBidi"/>
                <w:sz w:val="18"/>
                <w:szCs w:val="18"/>
              </w:rPr>
            </w:pPr>
            <w:r w:rsidRPr="002F4438">
              <w:rPr>
                <w:rFonts w:asciiTheme="majorBidi" w:hAnsiTheme="majorBidi" w:cstheme="majorBidi"/>
                <w:sz w:val="18"/>
                <w:szCs w:val="18"/>
              </w:rPr>
              <w:t>HC #353</w:t>
            </w:r>
          </w:p>
        </w:tc>
        <w:tc>
          <w:tcPr>
            <w:tcW w:w="0" w:type="auto"/>
          </w:tcPr>
          <w:p w:rsidR="00EF3108" w:rsidRPr="002F4438" w:rsidRDefault="00571412">
            <w:pPr>
              <w:rPr>
                <w:rFonts w:asciiTheme="majorBidi" w:hAnsiTheme="majorBidi" w:cstheme="majorBidi"/>
                <w:sz w:val="18"/>
                <w:szCs w:val="18"/>
              </w:rPr>
            </w:pPr>
            <w:r w:rsidRPr="002F4438">
              <w:rPr>
                <w:rFonts w:asciiTheme="majorBidi" w:hAnsiTheme="majorBidi" w:cstheme="majorBidi"/>
                <w:sz w:val="18"/>
                <w:szCs w:val="18"/>
              </w:rPr>
              <w:t>Classic tall cylindrical. Not enough information to know dating.</w:t>
            </w:r>
          </w:p>
        </w:tc>
        <w:tc>
          <w:tcPr>
            <w:tcW w:w="0" w:type="auto"/>
          </w:tcPr>
          <w:p w:rsidR="00EF3108" w:rsidRPr="002F4438" w:rsidRDefault="00571412">
            <w:pPr>
              <w:rPr>
                <w:rFonts w:asciiTheme="majorBidi" w:hAnsiTheme="majorBidi" w:cstheme="majorBidi"/>
                <w:b/>
                <w:bCs/>
                <w:sz w:val="18"/>
                <w:szCs w:val="18"/>
              </w:rPr>
            </w:pPr>
            <w:r w:rsidRPr="002F4438">
              <w:rPr>
                <w:rFonts w:asciiTheme="majorBidi" w:hAnsiTheme="majorBidi" w:cstheme="majorBidi"/>
                <w:b/>
                <w:bCs/>
                <w:sz w:val="18"/>
                <w:szCs w:val="18"/>
              </w:rPr>
              <w:t>Uncertain</w:t>
            </w:r>
          </w:p>
        </w:tc>
      </w:tr>
      <w:tr w:rsidR="00E91D92" w:rsidRPr="002F4438" w:rsidTr="00EF3108">
        <w:tc>
          <w:tcPr>
            <w:tcW w:w="0" w:type="auto"/>
          </w:tcPr>
          <w:p w:rsidR="00EF3108" w:rsidRPr="002F4438" w:rsidRDefault="00571412">
            <w:pPr>
              <w:rPr>
                <w:rFonts w:asciiTheme="majorBidi" w:hAnsiTheme="majorBidi" w:cstheme="majorBidi"/>
                <w:b/>
                <w:bCs/>
                <w:sz w:val="18"/>
                <w:szCs w:val="18"/>
              </w:rPr>
            </w:pPr>
            <w:r w:rsidRPr="002F4438">
              <w:rPr>
                <w:rFonts w:asciiTheme="majorBidi" w:hAnsiTheme="majorBidi" w:cstheme="majorBidi"/>
                <w:b/>
                <w:bCs/>
                <w:sz w:val="18"/>
                <w:szCs w:val="18"/>
              </w:rPr>
              <w:t>80</w:t>
            </w:r>
          </w:p>
        </w:tc>
        <w:tc>
          <w:tcPr>
            <w:tcW w:w="0" w:type="auto"/>
          </w:tcPr>
          <w:p w:rsidR="00EF3108" w:rsidRPr="002F4438" w:rsidRDefault="00571412">
            <w:pPr>
              <w:rPr>
                <w:rFonts w:asciiTheme="majorBidi" w:hAnsiTheme="majorBidi" w:cstheme="majorBidi"/>
                <w:sz w:val="18"/>
                <w:szCs w:val="18"/>
              </w:rPr>
            </w:pPr>
            <w:r w:rsidRPr="002F4438">
              <w:rPr>
                <w:rFonts w:asciiTheme="majorBidi" w:hAnsiTheme="majorBidi" w:cstheme="majorBidi"/>
                <w:sz w:val="18"/>
                <w:szCs w:val="18"/>
              </w:rPr>
              <w:t>1465</w:t>
            </w:r>
          </w:p>
        </w:tc>
        <w:tc>
          <w:tcPr>
            <w:tcW w:w="0" w:type="auto"/>
          </w:tcPr>
          <w:p w:rsidR="00EF3108" w:rsidRPr="002F4438" w:rsidRDefault="00571412">
            <w:pPr>
              <w:rPr>
                <w:rFonts w:asciiTheme="majorBidi" w:hAnsiTheme="majorBidi" w:cstheme="majorBidi"/>
                <w:sz w:val="18"/>
                <w:szCs w:val="18"/>
              </w:rPr>
            </w:pPr>
            <w:r w:rsidRPr="002F4438">
              <w:rPr>
                <w:rFonts w:asciiTheme="majorBidi" w:hAnsiTheme="majorBidi" w:cstheme="majorBidi"/>
                <w:sz w:val="18"/>
                <w:szCs w:val="18"/>
              </w:rPr>
              <w:t>HC #359</w:t>
            </w:r>
          </w:p>
        </w:tc>
        <w:tc>
          <w:tcPr>
            <w:tcW w:w="0" w:type="auto"/>
          </w:tcPr>
          <w:p w:rsidR="00EF3108" w:rsidRPr="002F4438" w:rsidRDefault="00571412">
            <w:pPr>
              <w:rPr>
                <w:rFonts w:asciiTheme="majorBidi" w:hAnsiTheme="majorBidi" w:cstheme="majorBidi"/>
                <w:sz w:val="18"/>
                <w:szCs w:val="18"/>
              </w:rPr>
            </w:pPr>
            <w:r w:rsidRPr="002F4438">
              <w:rPr>
                <w:rFonts w:asciiTheme="majorBidi" w:hAnsiTheme="majorBidi" w:cstheme="majorBidi"/>
                <w:sz w:val="18"/>
                <w:szCs w:val="18"/>
              </w:rPr>
              <w:t>Small cylindrical “scroll jar”. Southeastern pottery annex.</w:t>
            </w:r>
          </w:p>
        </w:tc>
        <w:tc>
          <w:tcPr>
            <w:tcW w:w="0" w:type="auto"/>
          </w:tcPr>
          <w:p w:rsidR="00EF3108" w:rsidRPr="002F4438" w:rsidRDefault="00571412">
            <w:pPr>
              <w:rPr>
                <w:rFonts w:asciiTheme="majorBidi" w:hAnsiTheme="majorBidi" w:cstheme="majorBidi"/>
                <w:b/>
                <w:bCs/>
                <w:sz w:val="18"/>
                <w:szCs w:val="18"/>
              </w:rPr>
            </w:pPr>
            <w:proofErr w:type="spellStart"/>
            <w:r w:rsidRPr="002F4438">
              <w:rPr>
                <w:rFonts w:asciiTheme="majorBidi" w:hAnsiTheme="majorBidi" w:cstheme="majorBidi"/>
                <w:b/>
                <w:bCs/>
                <w:sz w:val="18"/>
                <w:szCs w:val="18"/>
              </w:rPr>
              <w:t>Ib</w:t>
            </w:r>
            <w:proofErr w:type="spellEnd"/>
          </w:p>
        </w:tc>
      </w:tr>
      <w:tr w:rsidR="00E91D92" w:rsidRPr="002F4438" w:rsidTr="00EF3108">
        <w:tc>
          <w:tcPr>
            <w:tcW w:w="0" w:type="auto"/>
          </w:tcPr>
          <w:p w:rsidR="00EF3108" w:rsidRPr="002F4438" w:rsidRDefault="00EF3108">
            <w:pPr>
              <w:rPr>
                <w:rFonts w:asciiTheme="majorBidi" w:hAnsiTheme="majorBidi" w:cstheme="majorBidi"/>
                <w:b/>
                <w:bCs/>
                <w:sz w:val="18"/>
                <w:szCs w:val="18"/>
              </w:rPr>
            </w:pPr>
          </w:p>
        </w:tc>
        <w:tc>
          <w:tcPr>
            <w:tcW w:w="0" w:type="auto"/>
          </w:tcPr>
          <w:p w:rsidR="00EF3108" w:rsidRPr="002F4438" w:rsidRDefault="00571412">
            <w:pPr>
              <w:rPr>
                <w:rFonts w:asciiTheme="majorBidi" w:hAnsiTheme="majorBidi" w:cstheme="majorBidi"/>
                <w:sz w:val="18"/>
                <w:szCs w:val="18"/>
              </w:rPr>
            </w:pPr>
            <w:r w:rsidRPr="002F4438">
              <w:rPr>
                <w:rFonts w:asciiTheme="majorBidi" w:hAnsiTheme="majorBidi" w:cstheme="majorBidi"/>
                <w:sz w:val="18"/>
                <w:szCs w:val="18"/>
              </w:rPr>
              <w:t>1492</w:t>
            </w:r>
          </w:p>
        </w:tc>
        <w:tc>
          <w:tcPr>
            <w:tcW w:w="0" w:type="auto"/>
          </w:tcPr>
          <w:p w:rsidR="00EF3108" w:rsidRPr="002F4438" w:rsidRDefault="00571412">
            <w:pPr>
              <w:rPr>
                <w:rFonts w:asciiTheme="majorBidi" w:hAnsiTheme="majorBidi" w:cstheme="majorBidi"/>
                <w:sz w:val="18"/>
                <w:szCs w:val="18"/>
              </w:rPr>
            </w:pPr>
            <w:r w:rsidRPr="002F4438">
              <w:rPr>
                <w:rFonts w:asciiTheme="majorBidi" w:hAnsiTheme="majorBidi" w:cstheme="majorBidi"/>
                <w:sz w:val="18"/>
                <w:szCs w:val="18"/>
              </w:rPr>
              <w:t>HG 12</w:t>
            </w:r>
          </w:p>
        </w:tc>
        <w:tc>
          <w:tcPr>
            <w:tcW w:w="0" w:type="auto"/>
          </w:tcPr>
          <w:p w:rsidR="00EF3108" w:rsidRPr="002F4438" w:rsidRDefault="00571412">
            <w:pPr>
              <w:rPr>
                <w:rFonts w:asciiTheme="majorBidi" w:hAnsiTheme="majorBidi" w:cstheme="majorBidi"/>
                <w:sz w:val="18"/>
                <w:szCs w:val="18"/>
              </w:rPr>
            </w:pPr>
            <w:r w:rsidRPr="002F4438">
              <w:rPr>
                <w:rFonts w:asciiTheme="majorBidi" w:hAnsiTheme="majorBidi" w:cstheme="majorBidi"/>
                <w:sz w:val="18"/>
                <w:szCs w:val="18"/>
              </w:rPr>
              <w:t xml:space="preserve">De Vaux’s notes appear to associate this jar with a floor below the Period II level, i.e. Period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xml:space="preserve"> (</w:t>
            </w:r>
            <w:proofErr w:type="spellStart"/>
            <w:r w:rsidRPr="002F4438">
              <w:rPr>
                <w:rFonts w:asciiTheme="majorBidi" w:hAnsiTheme="majorBidi" w:cstheme="majorBidi"/>
                <w:sz w:val="18"/>
                <w:szCs w:val="18"/>
              </w:rPr>
              <w:t>Pfann</w:t>
            </w:r>
            <w:proofErr w:type="spellEnd"/>
            <w:r w:rsidRPr="002F4438">
              <w:rPr>
                <w:rFonts w:asciiTheme="majorBidi" w:hAnsiTheme="majorBidi" w:cstheme="majorBidi"/>
                <w:sz w:val="18"/>
                <w:szCs w:val="18"/>
              </w:rPr>
              <w:t xml:space="preserve"> 2003, 39). HC have this jar as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xml:space="preserve"> in their drawings (p. 168).</w:t>
            </w:r>
          </w:p>
        </w:tc>
        <w:tc>
          <w:tcPr>
            <w:tcW w:w="0" w:type="auto"/>
          </w:tcPr>
          <w:p w:rsidR="00EF3108" w:rsidRPr="002F4438" w:rsidRDefault="00571412">
            <w:pPr>
              <w:rPr>
                <w:rFonts w:asciiTheme="majorBidi" w:hAnsiTheme="majorBidi" w:cstheme="majorBidi"/>
                <w:b/>
                <w:bCs/>
                <w:sz w:val="18"/>
                <w:szCs w:val="18"/>
              </w:rPr>
            </w:pPr>
            <w:proofErr w:type="spellStart"/>
            <w:r w:rsidRPr="002F4438">
              <w:rPr>
                <w:rFonts w:asciiTheme="majorBidi" w:hAnsiTheme="majorBidi" w:cstheme="majorBidi"/>
                <w:b/>
                <w:bCs/>
                <w:sz w:val="18"/>
                <w:szCs w:val="18"/>
              </w:rPr>
              <w:t>Ib</w:t>
            </w:r>
            <w:proofErr w:type="spellEnd"/>
          </w:p>
        </w:tc>
      </w:tr>
      <w:tr w:rsidR="00E91D92" w:rsidRPr="002F4438" w:rsidTr="00EF3108">
        <w:tc>
          <w:tcPr>
            <w:tcW w:w="0" w:type="auto"/>
          </w:tcPr>
          <w:p w:rsidR="00EF3108" w:rsidRPr="002F4438" w:rsidRDefault="00571412">
            <w:pPr>
              <w:rPr>
                <w:rFonts w:asciiTheme="majorBidi" w:hAnsiTheme="majorBidi" w:cstheme="majorBidi"/>
                <w:b/>
                <w:bCs/>
                <w:sz w:val="18"/>
                <w:szCs w:val="18"/>
              </w:rPr>
            </w:pPr>
            <w:r w:rsidRPr="002F4438">
              <w:rPr>
                <w:rFonts w:asciiTheme="majorBidi" w:hAnsiTheme="majorBidi" w:cstheme="majorBidi"/>
                <w:b/>
                <w:bCs/>
                <w:sz w:val="18"/>
                <w:szCs w:val="18"/>
              </w:rPr>
              <w:t>81</w:t>
            </w:r>
          </w:p>
        </w:tc>
        <w:tc>
          <w:tcPr>
            <w:tcW w:w="0" w:type="auto"/>
          </w:tcPr>
          <w:p w:rsidR="00EF3108" w:rsidRPr="002F4438" w:rsidRDefault="00571412">
            <w:pPr>
              <w:rPr>
                <w:rFonts w:asciiTheme="majorBidi" w:hAnsiTheme="majorBidi" w:cstheme="majorBidi"/>
                <w:sz w:val="18"/>
                <w:szCs w:val="18"/>
              </w:rPr>
            </w:pPr>
            <w:r w:rsidRPr="002F4438">
              <w:rPr>
                <w:rFonts w:asciiTheme="majorBidi" w:hAnsiTheme="majorBidi" w:cstheme="majorBidi"/>
                <w:sz w:val="18"/>
                <w:szCs w:val="18"/>
              </w:rPr>
              <w:t>1401</w:t>
            </w:r>
          </w:p>
        </w:tc>
        <w:tc>
          <w:tcPr>
            <w:tcW w:w="0" w:type="auto"/>
          </w:tcPr>
          <w:p w:rsidR="00EF3108" w:rsidRPr="002F4438" w:rsidRDefault="00571412">
            <w:pPr>
              <w:rPr>
                <w:rFonts w:asciiTheme="majorBidi" w:hAnsiTheme="majorBidi" w:cstheme="majorBidi"/>
                <w:sz w:val="18"/>
                <w:szCs w:val="18"/>
              </w:rPr>
            </w:pPr>
            <w:r w:rsidRPr="002F4438">
              <w:rPr>
                <w:rFonts w:asciiTheme="majorBidi" w:hAnsiTheme="majorBidi" w:cstheme="majorBidi"/>
                <w:sz w:val="18"/>
                <w:szCs w:val="18"/>
              </w:rPr>
              <w:t>HG #316-318; HG 12.</w:t>
            </w:r>
          </w:p>
        </w:tc>
        <w:tc>
          <w:tcPr>
            <w:tcW w:w="0" w:type="auto"/>
          </w:tcPr>
          <w:p w:rsidR="00EF3108" w:rsidRPr="002F4438" w:rsidRDefault="00571412">
            <w:pPr>
              <w:rPr>
                <w:rFonts w:asciiTheme="majorBidi" w:hAnsiTheme="majorBidi" w:cstheme="majorBidi"/>
                <w:sz w:val="18"/>
                <w:szCs w:val="18"/>
              </w:rPr>
            </w:pPr>
            <w:r w:rsidRPr="002F4438">
              <w:rPr>
                <w:rFonts w:asciiTheme="majorBidi" w:hAnsiTheme="majorBidi" w:cstheme="majorBidi"/>
                <w:sz w:val="18"/>
                <w:szCs w:val="18"/>
              </w:rPr>
              <w:t xml:space="preserve">Small cylindrical “scroll jar” (HG 12, 44). De Vaux describes this jar as found at the lowest of 3 levels: “lower [level] . . . perhaps period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w:t>
            </w:r>
            <w:proofErr w:type="spellStart"/>
            <w:r w:rsidRPr="002F4438">
              <w:rPr>
                <w:rFonts w:asciiTheme="majorBidi" w:hAnsiTheme="majorBidi" w:cstheme="majorBidi"/>
                <w:sz w:val="18"/>
                <w:szCs w:val="18"/>
              </w:rPr>
              <w:t>Pfann</w:t>
            </w:r>
            <w:proofErr w:type="spellEnd"/>
            <w:r w:rsidRPr="002F4438">
              <w:rPr>
                <w:rFonts w:asciiTheme="majorBidi" w:hAnsiTheme="majorBidi" w:cstheme="majorBidi"/>
                <w:sz w:val="18"/>
                <w:szCs w:val="18"/>
              </w:rPr>
              <w:t xml:space="preserve"> 2003, 39).</w:t>
            </w:r>
          </w:p>
        </w:tc>
        <w:tc>
          <w:tcPr>
            <w:tcW w:w="0" w:type="auto"/>
          </w:tcPr>
          <w:p w:rsidR="00EF3108" w:rsidRPr="002F4438" w:rsidRDefault="00571412">
            <w:pPr>
              <w:rPr>
                <w:rFonts w:asciiTheme="majorBidi" w:hAnsiTheme="majorBidi" w:cstheme="majorBidi"/>
                <w:b/>
                <w:bCs/>
                <w:sz w:val="18"/>
                <w:szCs w:val="18"/>
              </w:rPr>
            </w:pPr>
            <w:proofErr w:type="spellStart"/>
            <w:r w:rsidRPr="002F4438">
              <w:rPr>
                <w:rFonts w:asciiTheme="majorBidi" w:hAnsiTheme="majorBidi" w:cstheme="majorBidi"/>
                <w:b/>
                <w:bCs/>
                <w:sz w:val="18"/>
                <w:szCs w:val="18"/>
              </w:rPr>
              <w:t>Ib</w:t>
            </w:r>
            <w:proofErr w:type="spellEnd"/>
            <w:r w:rsidRPr="002F4438">
              <w:rPr>
                <w:rFonts w:asciiTheme="majorBidi" w:hAnsiTheme="majorBidi" w:cstheme="majorBidi"/>
                <w:b/>
                <w:bCs/>
                <w:sz w:val="18"/>
                <w:szCs w:val="18"/>
              </w:rPr>
              <w:t xml:space="preserve"> (?)</w:t>
            </w:r>
          </w:p>
        </w:tc>
      </w:tr>
      <w:tr w:rsidR="00E91D92" w:rsidRPr="002F4438" w:rsidTr="00EF3108">
        <w:tc>
          <w:tcPr>
            <w:tcW w:w="0" w:type="auto"/>
          </w:tcPr>
          <w:p w:rsidR="00EF3108" w:rsidRPr="002F4438" w:rsidRDefault="00571412">
            <w:pPr>
              <w:rPr>
                <w:rFonts w:asciiTheme="majorBidi" w:hAnsiTheme="majorBidi" w:cstheme="majorBidi"/>
                <w:b/>
                <w:bCs/>
                <w:sz w:val="18"/>
                <w:szCs w:val="18"/>
              </w:rPr>
            </w:pPr>
            <w:r w:rsidRPr="002F4438">
              <w:rPr>
                <w:rFonts w:asciiTheme="majorBidi" w:hAnsiTheme="majorBidi" w:cstheme="majorBidi"/>
                <w:b/>
                <w:bCs/>
                <w:sz w:val="18"/>
                <w:szCs w:val="18"/>
              </w:rPr>
              <w:t>84</w:t>
            </w:r>
          </w:p>
        </w:tc>
        <w:tc>
          <w:tcPr>
            <w:tcW w:w="0" w:type="auto"/>
          </w:tcPr>
          <w:p w:rsidR="00EF3108" w:rsidRPr="002F4438" w:rsidRDefault="00EF3108">
            <w:pPr>
              <w:rPr>
                <w:rFonts w:asciiTheme="majorBidi" w:hAnsiTheme="majorBidi" w:cstheme="majorBidi"/>
                <w:sz w:val="18"/>
                <w:szCs w:val="18"/>
              </w:rPr>
            </w:pPr>
          </w:p>
        </w:tc>
        <w:tc>
          <w:tcPr>
            <w:tcW w:w="0" w:type="auto"/>
          </w:tcPr>
          <w:p w:rsidR="00EF3108" w:rsidRPr="002F4438" w:rsidRDefault="00571412">
            <w:pPr>
              <w:rPr>
                <w:rFonts w:asciiTheme="majorBidi" w:hAnsiTheme="majorBidi" w:cstheme="majorBidi"/>
                <w:sz w:val="18"/>
                <w:szCs w:val="18"/>
              </w:rPr>
            </w:pPr>
            <w:r w:rsidRPr="002F4438">
              <w:rPr>
                <w:rFonts w:asciiTheme="majorBidi" w:hAnsiTheme="majorBidi" w:cstheme="majorBidi"/>
                <w:sz w:val="18"/>
                <w:szCs w:val="18"/>
              </w:rPr>
              <w:t>HG 355 (photo); HG 15</w:t>
            </w:r>
          </w:p>
        </w:tc>
        <w:tc>
          <w:tcPr>
            <w:tcW w:w="0" w:type="auto"/>
          </w:tcPr>
          <w:p w:rsidR="00EF3108" w:rsidRPr="002F4438" w:rsidRDefault="00571412">
            <w:pPr>
              <w:rPr>
                <w:rFonts w:asciiTheme="majorBidi" w:hAnsiTheme="majorBidi" w:cstheme="majorBidi"/>
                <w:sz w:val="18"/>
                <w:szCs w:val="18"/>
              </w:rPr>
            </w:pPr>
            <w:proofErr w:type="spellStart"/>
            <w:r w:rsidRPr="002F4438">
              <w:rPr>
                <w:rFonts w:asciiTheme="majorBidi" w:hAnsiTheme="majorBidi" w:cstheme="majorBidi"/>
                <w:sz w:val="18"/>
                <w:szCs w:val="18"/>
              </w:rPr>
              <w:t>Gunneweg</w:t>
            </w:r>
            <w:proofErr w:type="spellEnd"/>
            <w:r w:rsidRPr="002F4438">
              <w:rPr>
                <w:rFonts w:asciiTheme="majorBidi" w:hAnsiTheme="majorBidi" w:cstheme="majorBidi"/>
                <w:sz w:val="18"/>
                <w:szCs w:val="18"/>
              </w:rPr>
              <w:t>/</w:t>
            </w:r>
            <w:proofErr w:type="spellStart"/>
            <w:r w:rsidRPr="002F4438">
              <w:rPr>
                <w:rFonts w:asciiTheme="majorBidi" w:hAnsiTheme="majorBidi" w:cstheme="majorBidi"/>
                <w:sz w:val="18"/>
                <w:szCs w:val="18"/>
              </w:rPr>
              <w:t>Balla</w:t>
            </w:r>
            <w:proofErr w:type="spellEnd"/>
            <w:r w:rsidRPr="002F4438">
              <w:rPr>
                <w:rFonts w:asciiTheme="majorBidi" w:hAnsiTheme="majorBidi" w:cstheme="majorBidi"/>
                <w:sz w:val="18"/>
                <w:szCs w:val="18"/>
              </w:rPr>
              <w:t xml:space="preserve"> </w:t>
            </w:r>
            <w:proofErr w:type="gramStart"/>
            <w:r w:rsidRPr="002F4438">
              <w:rPr>
                <w:rFonts w:asciiTheme="majorBidi" w:hAnsiTheme="majorBidi" w:cstheme="majorBidi"/>
                <w:sz w:val="18"/>
                <w:szCs w:val="18"/>
              </w:rPr>
              <w:t>say</w:t>
            </w:r>
            <w:proofErr w:type="gramEnd"/>
            <w:r w:rsidRPr="002F4438">
              <w:rPr>
                <w:rFonts w:asciiTheme="majorBidi" w:hAnsiTheme="majorBidi" w:cstheme="majorBidi"/>
                <w:sz w:val="18"/>
                <w:szCs w:val="18"/>
              </w:rPr>
              <w:t xml:space="preserve"> this is a “storage jar” but it appears to be a rounded-shoulder scroll jar in the drawing and photo. Three letters in red ink read as Latin “LXI”, “61”, caused an early identification of this jar as from Italy at the end of Period II (</w:t>
            </w:r>
            <w:proofErr w:type="spellStart"/>
            <w:r w:rsidRPr="002F4438">
              <w:rPr>
                <w:rFonts w:asciiTheme="majorBidi" w:hAnsiTheme="majorBidi" w:cstheme="majorBidi"/>
                <w:sz w:val="18"/>
                <w:szCs w:val="18"/>
              </w:rPr>
              <w:t>Zevi</w:t>
            </w:r>
            <w:proofErr w:type="spellEnd"/>
            <w:r w:rsidRPr="002F4438">
              <w:rPr>
                <w:rFonts w:asciiTheme="majorBidi" w:hAnsiTheme="majorBidi" w:cstheme="majorBidi"/>
                <w:sz w:val="18"/>
                <w:szCs w:val="18"/>
              </w:rPr>
              <w:t xml:space="preserve"> cited HG 354-55). But INAA tests published in 2003 refuted the Italian origin (HG 355), and there was other use of red ink at Qumran in Period Ib. The “</w:t>
            </w:r>
            <w:proofErr w:type="spellStart"/>
            <w:r w:rsidRPr="002F4438">
              <w:rPr>
                <w:rFonts w:asciiTheme="majorBidi" w:hAnsiTheme="majorBidi" w:cstheme="majorBidi"/>
                <w:sz w:val="18"/>
                <w:szCs w:val="18"/>
              </w:rPr>
              <w:t>niveau</w:t>
            </w:r>
            <w:proofErr w:type="spellEnd"/>
            <w:r w:rsidRPr="002F4438">
              <w:rPr>
                <w:rFonts w:asciiTheme="majorBidi" w:hAnsiTheme="majorBidi" w:cstheme="majorBidi"/>
                <w:sz w:val="18"/>
                <w:szCs w:val="18"/>
              </w:rPr>
              <w:t xml:space="preserve"> </w:t>
            </w:r>
            <w:proofErr w:type="spellStart"/>
            <w:r w:rsidRPr="002F4438">
              <w:rPr>
                <w:rFonts w:asciiTheme="majorBidi" w:hAnsiTheme="majorBidi" w:cstheme="majorBidi"/>
                <w:sz w:val="18"/>
                <w:szCs w:val="18"/>
              </w:rPr>
              <w:t>inférieur</w:t>
            </w:r>
            <w:proofErr w:type="spellEnd"/>
            <w:r w:rsidRPr="002F4438">
              <w:rPr>
                <w:rFonts w:asciiTheme="majorBidi" w:hAnsiTheme="majorBidi" w:cstheme="majorBidi"/>
                <w:sz w:val="18"/>
                <w:szCs w:val="18"/>
              </w:rPr>
              <w:t xml:space="preserve">” in which it was found (HG 354) could be either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xml:space="preserve"> or II. Curiously, KhQ734 found in locus 39 is suggested uncertainly by </w:t>
            </w:r>
            <w:proofErr w:type="spellStart"/>
            <w:r w:rsidRPr="002F4438">
              <w:rPr>
                <w:rFonts w:asciiTheme="majorBidi" w:hAnsiTheme="majorBidi" w:cstheme="majorBidi"/>
                <w:sz w:val="18"/>
                <w:szCs w:val="18"/>
              </w:rPr>
              <w:t>Lemaire</w:t>
            </w:r>
            <w:proofErr w:type="spellEnd"/>
            <w:r w:rsidRPr="002F4438">
              <w:rPr>
                <w:rFonts w:asciiTheme="majorBidi" w:hAnsiTheme="majorBidi" w:cstheme="majorBidi"/>
                <w:sz w:val="18"/>
                <w:szCs w:val="18"/>
              </w:rPr>
              <w:t xml:space="preserve"> also to read Latin “LXI”, “61” (HG 350), the same number on KhQ1401. KhQ734</w:t>
            </w:r>
            <w:r w:rsidR="00E91D92" w:rsidRPr="002F4438">
              <w:rPr>
                <w:rFonts w:asciiTheme="majorBidi" w:hAnsiTheme="majorBidi" w:cstheme="majorBidi"/>
                <w:sz w:val="18"/>
                <w:szCs w:val="18"/>
              </w:rPr>
              <w:t xml:space="preserve"> was found by de Vaux in “</w:t>
            </w:r>
            <w:proofErr w:type="spellStart"/>
            <w:r w:rsidR="00E91D92" w:rsidRPr="002F4438">
              <w:rPr>
                <w:rFonts w:asciiTheme="majorBidi" w:hAnsiTheme="majorBidi" w:cstheme="majorBidi"/>
                <w:sz w:val="18"/>
                <w:szCs w:val="18"/>
              </w:rPr>
              <w:t>niveau</w:t>
            </w:r>
            <w:proofErr w:type="spellEnd"/>
            <w:r w:rsidR="00E91D92" w:rsidRPr="002F4438">
              <w:rPr>
                <w:rFonts w:asciiTheme="majorBidi" w:hAnsiTheme="majorBidi" w:cstheme="majorBidi"/>
                <w:sz w:val="18"/>
                <w:szCs w:val="18"/>
              </w:rPr>
              <w:t xml:space="preserve"> </w:t>
            </w:r>
            <w:proofErr w:type="spellStart"/>
            <w:r w:rsidR="00E91D92" w:rsidRPr="002F4438">
              <w:rPr>
                <w:rFonts w:asciiTheme="majorBidi" w:hAnsiTheme="majorBidi" w:cstheme="majorBidi"/>
                <w:sz w:val="18"/>
                <w:szCs w:val="18"/>
              </w:rPr>
              <w:t>inférieur</w:t>
            </w:r>
            <w:proofErr w:type="spellEnd"/>
            <w:r w:rsidR="00E91D92" w:rsidRPr="002F4438">
              <w:rPr>
                <w:rFonts w:asciiTheme="majorBidi" w:hAnsiTheme="majorBidi" w:cstheme="majorBidi"/>
                <w:sz w:val="18"/>
                <w:szCs w:val="18"/>
              </w:rPr>
              <w:t xml:space="preserve">” of locus 39 (HG 350), just before the next-numbered finds from that locus, KhQ735 and KhQ739, coins of </w:t>
            </w:r>
            <w:proofErr w:type="spellStart"/>
            <w:r w:rsidR="00E91D92" w:rsidRPr="002F4438">
              <w:rPr>
                <w:rFonts w:asciiTheme="majorBidi" w:hAnsiTheme="majorBidi" w:cstheme="majorBidi"/>
                <w:sz w:val="18"/>
                <w:szCs w:val="18"/>
              </w:rPr>
              <w:t>Antigonus</w:t>
            </w:r>
            <w:proofErr w:type="spellEnd"/>
            <w:r w:rsidR="00E91D92" w:rsidRPr="002F4438">
              <w:rPr>
                <w:rFonts w:asciiTheme="majorBidi" w:hAnsiTheme="majorBidi" w:cstheme="majorBidi"/>
                <w:sz w:val="18"/>
                <w:szCs w:val="18"/>
              </w:rPr>
              <w:t xml:space="preserve"> </w:t>
            </w:r>
            <w:proofErr w:type="spellStart"/>
            <w:r w:rsidR="00E91D92" w:rsidRPr="002F4438">
              <w:rPr>
                <w:rFonts w:asciiTheme="majorBidi" w:hAnsiTheme="majorBidi" w:cstheme="majorBidi"/>
                <w:sz w:val="18"/>
                <w:szCs w:val="18"/>
              </w:rPr>
              <w:t>Mattathias</w:t>
            </w:r>
            <w:proofErr w:type="spellEnd"/>
            <w:r w:rsidR="00E91D92" w:rsidRPr="002F4438">
              <w:rPr>
                <w:rFonts w:asciiTheme="majorBidi" w:hAnsiTheme="majorBidi" w:cstheme="majorBidi"/>
                <w:sz w:val="18"/>
                <w:szCs w:val="18"/>
              </w:rPr>
              <w:t xml:space="preserve"> and </w:t>
            </w:r>
            <w:proofErr w:type="spellStart"/>
            <w:r w:rsidR="00E91D92" w:rsidRPr="002F4438">
              <w:rPr>
                <w:rFonts w:asciiTheme="majorBidi" w:hAnsiTheme="majorBidi" w:cstheme="majorBidi"/>
                <w:sz w:val="18"/>
                <w:szCs w:val="18"/>
              </w:rPr>
              <w:t>Archelaus</w:t>
            </w:r>
            <w:proofErr w:type="spellEnd"/>
            <w:r w:rsidR="00E91D92" w:rsidRPr="002F4438">
              <w:rPr>
                <w:rFonts w:asciiTheme="majorBidi" w:hAnsiTheme="majorBidi" w:cstheme="majorBidi"/>
                <w:sz w:val="18"/>
                <w:szCs w:val="18"/>
              </w:rPr>
              <w:t xml:space="preserve">. The find level of KhQ734 appears to be Period </w:t>
            </w:r>
            <w:proofErr w:type="spellStart"/>
            <w:r w:rsidR="00E91D92" w:rsidRPr="002F4438">
              <w:rPr>
                <w:rFonts w:asciiTheme="majorBidi" w:hAnsiTheme="majorBidi" w:cstheme="majorBidi"/>
                <w:sz w:val="18"/>
                <w:szCs w:val="18"/>
              </w:rPr>
              <w:t>Ib</w:t>
            </w:r>
            <w:proofErr w:type="spellEnd"/>
            <w:r w:rsidR="00E91D92" w:rsidRPr="002F4438">
              <w:rPr>
                <w:rFonts w:asciiTheme="majorBidi" w:hAnsiTheme="majorBidi" w:cstheme="majorBidi"/>
                <w:sz w:val="18"/>
                <w:szCs w:val="18"/>
              </w:rPr>
              <w:t xml:space="preserve"> (compare a parallel lower floor of locus 41; also the open northern door of locus 39 in the </w:t>
            </w:r>
            <w:proofErr w:type="spellStart"/>
            <w:r w:rsidR="00E91D92" w:rsidRPr="002F4438">
              <w:rPr>
                <w:rFonts w:asciiTheme="majorBidi" w:hAnsiTheme="majorBidi" w:cstheme="majorBidi"/>
                <w:sz w:val="18"/>
                <w:szCs w:val="18"/>
              </w:rPr>
              <w:t>Ib</w:t>
            </w:r>
            <w:proofErr w:type="spellEnd"/>
            <w:r w:rsidR="00E91D92" w:rsidRPr="002F4438">
              <w:rPr>
                <w:rFonts w:asciiTheme="majorBidi" w:hAnsiTheme="majorBidi" w:cstheme="majorBidi"/>
                <w:sz w:val="18"/>
                <w:szCs w:val="18"/>
              </w:rPr>
              <w:t xml:space="preserve"> plan in HC). If the readings are correct this suggests the two items are contemporary, with a suggested </w:t>
            </w:r>
            <w:r w:rsidR="00E91D92" w:rsidRPr="002F4438">
              <w:rPr>
                <w:rFonts w:asciiTheme="majorBidi" w:hAnsiTheme="majorBidi" w:cstheme="majorBidi"/>
                <w:i/>
                <w:iCs/>
                <w:sz w:val="18"/>
                <w:szCs w:val="18"/>
              </w:rPr>
              <w:t xml:space="preserve">terminus ad </w:t>
            </w:r>
            <w:proofErr w:type="spellStart"/>
            <w:r w:rsidR="00E91D92" w:rsidRPr="002F4438">
              <w:rPr>
                <w:rFonts w:asciiTheme="majorBidi" w:hAnsiTheme="majorBidi" w:cstheme="majorBidi"/>
                <w:i/>
                <w:iCs/>
                <w:sz w:val="18"/>
                <w:szCs w:val="18"/>
              </w:rPr>
              <w:t>quem</w:t>
            </w:r>
            <w:proofErr w:type="spellEnd"/>
            <w:r w:rsidR="00E91D92" w:rsidRPr="002F4438">
              <w:rPr>
                <w:rFonts w:asciiTheme="majorBidi" w:hAnsiTheme="majorBidi" w:cstheme="majorBidi"/>
                <w:i/>
                <w:iCs/>
                <w:sz w:val="18"/>
                <w:szCs w:val="18"/>
              </w:rPr>
              <w:t xml:space="preserve"> </w:t>
            </w:r>
            <w:r w:rsidR="00E91D92" w:rsidRPr="002F4438">
              <w:rPr>
                <w:rFonts w:asciiTheme="majorBidi" w:hAnsiTheme="majorBidi" w:cstheme="majorBidi"/>
                <w:sz w:val="18"/>
                <w:szCs w:val="18"/>
              </w:rPr>
              <w:t xml:space="preserve">being the time of dropping of an </w:t>
            </w:r>
            <w:proofErr w:type="spellStart"/>
            <w:r w:rsidR="00E91D92" w:rsidRPr="002F4438">
              <w:rPr>
                <w:rFonts w:asciiTheme="majorBidi" w:hAnsiTheme="majorBidi" w:cstheme="majorBidi"/>
                <w:sz w:val="18"/>
                <w:szCs w:val="18"/>
              </w:rPr>
              <w:t>Antigonus</w:t>
            </w:r>
            <w:proofErr w:type="spellEnd"/>
            <w:r w:rsidR="00E91D92" w:rsidRPr="002F4438">
              <w:rPr>
                <w:rFonts w:asciiTheme="majorBidi" w:hAnsiTheme="majorBidi" w:cstheme="majorBidi"/>
                <w:sz w:val="18"/>
                <w:szCs w:val="18"/>
              </w:rPr>
              <w:t xml:space="preserve"> </w:t>
            </w:r>
            <w:proofErr w:type="spellStart"/>
            <w:r w:rsidR="00E91D92" w:rsidRPr="002F4438">
              <w:rPr>
                <w:rFonts w:asciiTheme="majorBidi" w:hAnsiTheme="majorBidi" w:cstheme="majorBidi"/>
                <w:sz w:val="18"/>
                <w:szCs w:val="18"/>
              </w:rPr>
              <w:t>Mattathias</w:t>
            </w:r>
            <w:proofErr w:type="spellEnd"/>
            <w:r w:rsidR="00E91D92" w:rsidRPr="002F4438">
              <w:rPr>
                <w:rFonts w:asciiTheme="majorBidi" w:hAnsiTheme="majorBidi" w:cstheme="majorBidi"/>
                <w:sz w:val="18"/>
                <w:szCs w:val="18"/>
              </w:rPr>
              <w:t xml:space="preserve"> coin in locus 39.</w:t>
            </w:r>
          </w:p>
        </w:tc>
        <w:tc>
          <w:tcPr>
            <w:tcW w:w="0" w:type="auto"/>
          </w:tcPr>
          <w:p w:rsidR="00EF3108" w:rsidRPr="002F4438" w:rsidRDefault="00E91D92">
            <w:pPr>
              <w:rPr>
                <w:rFonts w:asciiTheme="majorBidi" w:hAnsiTheme="majorBidi" w:cstheme="majorBidi"/>
                <w:b/>
                <w:bCs/>
                <w:sz w:val="18"/>
                <w:szCs w:val="18"/>
              </w:rPr>
            </w:pPr>
            <w:proofErr w:type="spellStart"/>
            <w:r w:rsidRPr="002F4438">
              <w:rPr>
                <w:rFonts w:asciiTheme="majorBidi" w:hAnsiTheme="majorBidi" w:cstheme="majorBidi"/>
                <w:b/>
                <w:bCs/>
                <w:sz w:val="18"/>
                <w:szCs w:val="18"/>
              </w:rPr>
              <w:t>Ib</w:t>
            </w:r>
            <w:proofErr w:type="spellEnd"/>
            <w:r w:rsidRPr="002F4438">
              <w:rPr>
                <w:rFonts w:asciiTheme="majorBidi" w:hAnsiTheme="majorBidi" w:cstheme="majorBidi"/>
                <w:b/>
                <w:bCs/>
                <w:sz w:val="18"/>
                <w:szCs w:val="18"/>
              </w:rPr>
              <w:t xml:space="preserve"> (?)</w:t>
            </w:r>
          </w:p>
        </w:tc>
      </w:tr>
      <w:tr w:rsidR="00E91D92" w:rsidRPr="002F4438" w:rsidTr="00EF3108">
        <w:tc>
          <w:tcPr>
            <w:tcW w:w="0" w:type="auto"/>
          </w:tcPr>
          <w:p w:rsidR="00EF3108" w:rsidRPr="002F4438" w:rsidRDefault="00E91D92">
            <w:pPr>
              <w:rPr>
                <w:rFonts w:asciiTheme="majorBidi" w:hAnsiTheme="majorBidi" w:cstheme="majorBidi"/>
                <w:b/>
                <w:bCs/>
                <w:sz w:val="18"/>
                <w:szCs w:val="18"/>
              </w:rPr>
            </w:pPr>
            <w:r w:rsidRPr="002F4438">
              <w:rPr>
                <w:rFonts w:asciiTheme="majorBidi" w:hAnsiTheme="majorBidi" w:cstheme="majorBidi"/>
                <w:b/>
                <w:bCs/>
                <w:sz w:val="18"/>
                <w:szCs w:val="18"/>
              </w:rPr>
              <w:t>120</w:t>
            </w:r>
          </w:p>
        </w:tc>
        <w:tc>
          <w:tcPr>
            <w:tcW w:w="0" w:type="auto"/>
          </w:tcPr>
          <w:p w:rsidR="00EF3108" w:rsidRPr="002F4438" w:rsidRDefault="00E91D92">
            <w:pPr>
              <w:rPr>
                <w:rFonts w:asciiTheme="majorBidi" w:hAnsiTheme="majorBidi" w:cstheme="majorBidi"/>
                <w:sz w:val="18"/>
                <w:szCs w:val="18"/>
              </w:rPr>
            </w:pPr>
            <w:r w:rsidRPr="002F4438">
              <w:rPr>
                <w:rFonts w:asciiTheme="majorBidi" w:hAnsiTheme="majorBidi" w:cstheme="majorBidi"/>
                <w:sz w:val="18"/>
                <w:szCs w:val="18"/>
              </w:rPr>
              <w:t>2661A</w:t>
            </w:r>
          </w:p>
        </w:tc>
        <w:tc>
          <w:tcPr>
            <w:tcW w:w="0" w:type="auto"/>
          </w:tcPr>
          <w:p w:rsidR="00EF3108" w:rsidRPr="002F4438" w:rsidRDefault="00E91D92">
            <w:pPr>
              <w:rPr>
                <w:rFonts w:asciiTheme="majorBidi" w:hAnsiTheme="majorBidi" w:cstheme="majorBidi"/>
                <w:sz w:val="18"/>
                <w:szCs w:val="18"/>
              </w:rPr>
            </w:pPr>
            <w:r w:rsidRPr="002F4438">
              <w:rPr>
                <w:rFonts w:asciiTheme="majorBidi" w:hAnsiTheme="majorBidi" w:cstheme="majorBidi"/>
                <w:sz w:val="18"/>
                <w:szCs w:val="18"/>
              </w:rPr>
              <w:t>HG 12</w:t>
            </w:r>
          </w:p>
        </w:tc>
        <w:tc>
          <w:tcPr>
            <w:tcW w:w="0" w:type="auto"/>
          </w:tcPr>
          <w:p w:rsidR="00EF3108" w:rsidRPr="002F4438" w:rsidRDefault="00E91D92">
            <w:pPr>
              <w:rPr>
                <w:rFonts w:asciiTheme="majorBidi" w:hAnsiTheme="majorBidi" w:cstheme="majorBidi"/>
                <w:sz w:val="18"/>
                <w:szCs w:val="18"/>
              </w:rPr>
            </w:pPr>
            <w:r w:rsidRPr="002F4438">
              <w:rPr>
                <w:rFonts w:asciiTheme="majorBidi" w:hAnsiTheme="majorBidi" w:cstheme="majorBidi"/>
                <w:sz w:val="18"/>
                <w:szCs w:val="18"/>
              </w:rPr>
              <w:t xml:space="preserve">Rounded shoulder; “large scroll jar”. HG 36, 41, 44. Not enough information for certainty, but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xml:space="preserve"> seems suggested since the jar was found so close to a buried hoard with coins of 9/8 BCE. It is plausible that the coins were buried later than the jar (since the coins were not found and removed).</w:t>
            </w:r>
          </w:p>
        </w:tc>
        <w:tc>
          <w:tcPr>
            <w:tcW w:w="0" w:type="auto"/>
          </w:tcPr>
          <w:p w:rsidR="00EF3108" w:rsidRPr="002F4438" w:rsidRDefault="00E91D92">
            <w:pPr>
              <w:rPr>
                <w:rFonts w:asciiTheme="majorBidi" w:hAnsiTheme="majorBidi" w:cstheme="majorBidi"/>
                <w:b/>
                <w:bCs/>
                <w:sz w:val="18"/>
                <w:szCs w:val="18"/>
              </w:rPr>
            </w:pPr>
            <w:proofErr w:type="spellStart"/>
            <w:r w:rsidRPr="002F4438">
              <w:rPr>
                <w:rFonts w:asciiTheme="majorBidi" w:hAnsiTheme="majorBidi" w:cstheme="majorBidi"/>
                <w:b/>
                <w:bCs/>
                <w:sz w:val="18"/>
                <w:szCs w:val="18"/>
              </w:rPr>
              <w:t>Ib</w:t>
            </w:r>
            <w:proofErr w:type="spellEnd"/>
            <w:r w:rsidRPr="002F4438">
              <w:rPr>
                <w:rFonts w:asciiTheme="majorBidi" w:hAnsiTheme="majorBidi" w:cstheme="majorBidi"/>
                <w:b/>
                <w:bCs/>
                <w:sz w:val="18"/>
                <w:szCs w:val="18"/>
              </w:rPr>
              <w:t xml:space="preserve"> (?)</w:t>
            </w:r>
          </w:p>
        </w:tc>
      </w:tr>
      <w:tr w:rsidR="00E91D92" w:rsidRPr="002F4438" w:rsidTr="00EF3108">
        <w:tc>
          <w:tcPr>
            <w:tcW w:w="0" w:type="auto"/>
          </w:tcPr>
          <w:p w:rsidR="00EF3108" w:rsidRPr="002F4438" w:rsidRDefault="00E91D92">
            <w:pPr>
              <w:rPr>
                <w:rFonts w:asciiTheme="majorBidi" w:hAnsiTheme="majorBidi" w:cstheme="majorBidi"/>
                <w:b/>
                <w:bCs/>
                <w:sz w:val="18"/>
                <w:szCs w:val="18"/>
              </w:rPr>
            </w:pPr>
            <w:r w:rsidRPr="002F4438">
              <w:rPr>
                <w:rFonts w:asciiTheme="majorBidi" w:hAnsiTheme="majorBidi" w:cstheme="majorBidi"/>
                <w:b/>
                <w:bCs/>
                <w:sz w:val="18"/>
                <w:szCs w:val="18"/>
              </w:rPr>
              <w:t>124</w:t>
            </w:r>
          </w:p>
        </w:tc>
        <w:tc>
          <w:tcPr>
            <w:tcW w:w="0" w:type="auto"/>
          </w:tcPr>
          <w:p w:rsidR="00EF3108" w:rsidRPr="002F4438" w:rsidRDefault="00E91D92">
            <w:pPr>
              <w:rPr>
                <w:rFonts w:asciiTheme="majorBidi" w:hAnsiTheme="majorBidi" w:cstheme="majorBidi"/>
                <w:sz w:val="18"/>
                <w:szCs w:val="18"/>
              </w:rPr>
            </w:pPr>
            <w:r w:rsidRPr="002F4438">
              <w:rPr>
                <w:rFonts w:asciiTheme="majorBidi" w:hAnsiTheme="majorBidi" w:cstheme="majorBidi"/>
                <w:sz w:val="18"/>
                <w:szCs w:val="18"/>
              </w:rPr>
              <w:t>2553</w:t>
            </w:r>
          </w:p>
        </w:tc>
        <w:tc>
          <w:tcPr>
            <w:tcW w:w="0" w:type="auto"/>
          </w:tcPr>
          <w:p w:rsidR="00EF3108" w:rsidRPr="002F4438" w:rsidRDefault="00E91D92">
            <w:pPr>
              <w:rPr>
                <w:rFonts w:asciiTheme="majorBidi" w:hAnsiTheme="majorBidi" w:cstheme="majorBidi"/>
                <w:sz w:val="18"/>
                <w:szCs w:val="18"/>
              </w:rPr>
            </w:pPr>
            <w:r w:rsidRPr="002F4438">
              <w:rPr>
                <w:rFonts w:asciiTheme="majorBidi" w:hAnsiTheme="majorBidi" w:cstheme="majorBidi"/>
                <w:sz w:val="18"/>
                <w:szCs w:val="18"/>
              </w:rPr>
              <w:t>HG 12</w:t>
            </w:r>
          </w:p>
        </w:tc>
        <w:tc>
          <w:tcPr>
            <w:tcW w:w="0" w:type="auto"/>
          </w:tcPr>
          <w:p w:rsidR="00EF3108" w:rsidRPr="002F4438" w:rsidRDefault="00E91D92">
            <w:pPr>
              <w:rPr>
                <w:rFonts w:asciiTheme="majorBidi" w:hAnsiTheme="majorBidi" w:cstheme="majorBidi"/>
                <w:sz w:val="18"/>
                <w:szCs w:val="18"/>
              </w:rPr>
            </w:pPr>
            <w:r w:rsidRPr="002F4438">
              <w:rPr>
                <w:rFonts w:asciiTheme="majorBidi" w:hAnsiTheme="majorBidi" w:cstheme="majorBidi"/>
                <w:sz w:val="18"/>
                <w:szCs w:val="18"/>
              </w:rPr>
              <w:t xml:space="preserve">Rounded shoulder; “scroll jar”. HG 35, 41, 44. Found outside the western walls of the building among what de Vaux interpreted as debris from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xml:space="preserve"> thrown outside the buildings by people resettling in Period II (DV 1973: 25; </w:t>
            </w:r>
            <w:proofErr w:type="spellStart"/>
            <w:r w:rsidRPr="002F4438">
              <w:rPr>
                <w:rFonts w:asciiTheme="majorBidi" w:hAnsiTheme="majorBidi" w:cstheme="majorBidi"/>
                <w:sz w:val="18"/>
                <w:szCs w:val="18"/>
              </w:rPr>
              <w:t>Pfann</w:t>
            </w:r>
            <w:proofErr w:type="spellEnd"/>
            <w:r w:rsidRPr="002F4438">
              <w:rPr>
                <w:rFonts w:asciiTheme="majorBidi" w:hAnsiTheme="majorBidi" w:cstheme="majorBidi"/>
                <w:sz w:val="18"/>
                <w:szCs w:val="18"/>
              </w:rPr>
              <w:t xml:space="preserve"> 2003, 53).</w:t>
            </w:r>
          </w:p>
        </w:tc>
        <w:tc>
          <w:tcPr>
            <w:tcW w:w="0" w:type="auto"/>
          </w:tcPr>
          <w:p w:rsidR="00EF3108" w:rsidRPr="002F4438" w:rsidRDefault="00E91D92">
            <w:pPr>
              <w:rPr>
                <w:rFonts w:asciiTheme="majorBidi" w:hAnsiTheme="majorBidi" w:cstheme="majorBidi"/>
                <w:b/>
                <w:bCs/>
                <w:sz w:val="18"/>
                <w:szCs w:val="18"/>
              </w:rPr>
            </w:pPr>
            <w:proofErr w:type="spellStart"/>
            <w:r w:rsidRPr="002F4438">
              <w:rPr>
                <w:rFonts w:asciiTheme="majorBidi" w:hAnsiTheme="majorBidi" w:cstheme="majorBidi"/>
                <w:b/>
                <w:bCs/>
                <w:sz w:val="18"/>
                <w:szCs w:val="18"/>
              </w:rPr>
              <w:t>Ib</w:t>
            </w:r>
            <w:proofErr w:type="spellEnd"/>
          </w:p>
        </w:tc>
      </w:tr>
      <w:tr w:rsidR="00E91D92" w:rsidRPr="002F4438" w:rsidTr="00EF3108">
        <w:tc>
          <w:tcPr>
            <w:tcW w:w="0" w:type="auto"/>
          </w:tcPr>
          <w:p w:rsidR="00EF3108" w:rsidRPr="002F4438" w:rsidRDefault="00E91D92">
            <w:pPr>
              <w:rPr>
                <w:rFonts w:asciiTheme="majorBidi" w:hAnsiTheme="majorBidi" w:cstheme="majorBidi"/>
                <w:b/>
                <w:bCs/>
                <w:sz w:val="18"/>
                <w:szCs w:val="18"/>
              </w:rPr>
            </w:pPr>
            <w:r w:rsidRPr="002F4438">
              <w:rPr>
                <w:rFonts w:asciiTheme="majorBidi" w:hAnsiTheme="majorBidi" w:cstheme="majorBidi"/>
                <w:b/>
                <w:bCs/>
                <w:sz w:val="18"/>
                <w:szCs w:val="18"/>
              </w:rPr>
              <w:t>South Tr.</w:t>
            </w:r>
          </w:p>
        </w:tc>
        <w:tc>
          <w:tcPr>
            <w:tcW w:w="0" w:type="auto"/>
          </w:tcPr>
          <w:p w:rsidR="00EF3108" w:rsidRPr="002F4438" w:rsidRDefault="00E91D92">
            <w:pPr>
              <w:rPr>
                <w:rFonts w:asciiTheme="majorBidi" w:hAnsiTheme="majorBidi" w:cstheme="majorBidi"/>
                <w:sz w:val="18"/>
                <w:szCs w:val="18"/>
              </w:rPr>
            </w:pPr>
            <w:r w:rsidRPr="002F4438">
              <w:rPr>
                <w:rFonts w:asciiTheme="majorBidi" w:hAnsiTheme="majorBidi" w:cstheme="majorBidi"/>
                <w:sz w:val="18"/>
                <w:szCs w:val="18"/>
              </w:rPr>
              <w:t>2548</w:t>
            </w:r>
          </w:p>
        </w:tc>
        <w:tc>
          <w:tcPr>
            <w:tcW w:w="0" w:type="auto"/>
          </w:tcPr>
          <w:p w:rsidR="00EF3108" w:rsidRPr="002F4438" w:rsidRDefault="00E91D92">
            <w:pPr>
              <w:rPr>
                <w:rFonts w:asciiTheme="majorBidi" w:hAnsiTheme="majorBidi" w:cstheme="majorBidi"/>
                <w:sz w:val="18"/>
                <w:szCs w:val="18"/>
              </w:rPr>
            </w:pPr>
            <w:r w:rsidRPr="002F4438">
              <w:rPr>
                <w:rFonts w:asciiTheme="majorBidi" w:hAnsiTheme="majorBidi" w:cstheme="majorBidi"/>
                <w:sz w:val="18"/>
                <w:szCs w:val="18"/>
              </w:rPr>
              <w:t>HG 12</w:t>
            </w:r>
          </w:p>
        </w:tc>
        <w:tc>
          <w:tcPr>
            <w:tcW w:w="0" w:type="auto"/>
          </w:tcPr>
          <w:p w:rsidR="00EF3108" w:rsidRPr="002F4438" w:rsidRDefault="00E91D92">
            <w:pPr>
              <w:rPr>
                <w:rFonts w:asciiTheme="majorBidi" w:hAnsiTheme="majorBidi" w:cstheme="majorBidi"/>
                <w:sz w:val="18"/>
                <w:szCs w:val="18"/>
              </w:rPr>
            </w:pPr>
            <w:r w:rsidRPr="002F4438">
              <w:rPr>
                <w:rFonts w:asciiTheme="majorBidi" w:hAnsiTheme="majorBidi" w:cstheme="majorBidi"/>
                <w:sz w:val="18"/>
                <w:szCs w:val="18"/>
              </w:rPr>
              <w:t xml:space="preserve">“Small scroll jar”. HG 36, 41. Found among animal bone deposits and coins of John </w:t>
            </w:r>
            <w:proofErr w:type="spellStart"/>
            <w:r w:rsidRPr="002F4438">
              <w:rPr>
                <w:rFonts w:asciiTheme="majorBidi" w:hAnsiTheme="majorBidi" w:cstheme="majorBidi"/>
                <w:sz w:val="18"/>
                <w:szCs w:val="18"/>
              </w:rPr>
              <w:t>Hyrcanus</w:t>
            </w:r>
            <w:proofErr w:type="spellEnd"/>
            <w:r w:rsidRPr="002F4438">
              <w:rPr>
                <w:rFonts w:asciiTheme="majorBidi" w:hAnsiTheme="majorBidi" w:cstheme="majorBidi"/>
                <w:sz w:val="18"/>
                <w:szCs w:val="18"/>
              </w:rPr>
              <w:t xml:space="preserve"> </w:t>
            </w:r>
            <w:proofErr w:type="gramStart"/>
            <w:r w:rsidRPr="002F4438">
              <w:rPr>
                <w:rFonts w:asciiTheme="majorBidi" w:hAnsiTheme="majorBidi" w:cstheme="majorBidi"/>
                <w:sz w:val="18"/>
                <w:szCs w:val="18"/>
              </w:rPr>
              <w:t>I</w:t>
            </w:r>
            <w:proofErr w:type="gramEnd"/>
            <w:r w:rsidRPr="002F4438">
              <w:rPr>
                <w:rFonts w:asciiTheme="majorBidi" w:hAnsiTheme="majorBidi" w:cstheme="majorBidi"/>
                <w:sz w:val="18"/>
                <w:szCs w:val="18"/>
              </w:rPr>
              <w:t xml:space="preserve"> and Alexander </w:t>
            </w:r>
            <w:proofErr w:type="spellStart"/>
            <w:r w:rsidRPr="002F4438">
              <w:rPr>
                <w:rFonts w:asciiTheme="majorBidi" w:hAnsiTheme="majorBidi" w:cstheme="majorBidi"/>
                <w:sz w:val="18"/>
                <w:szCs w:val="18"/>
              </w:rPr>
              <w:t>Jannaeus</w:t>
            </w:r>
            <w:proofErr w:type="spellEnd"/>
            <w:r w:rsidRPr="002F4438">
              <w:rPr>
                <w:rFonts w:asciiTheme="majorBidi" w:hAnsiTheme="majorBidi" w:cstheme="majorBidi"/>
                <w:sz w:val="18"/>
                <w:szCs w:val="18"/>
              </w:rPr>
              <w:t xml:space="preserve">, but no later coins. Identified by de Vaux as entirely </w:t>
            </w:r>
            <w:proofErr w:type="spellStart"/>
            <w:r w:rsidRPr="002F4438">
              <w:rPr>
                <w:rFonts w:asciiTheme="majorBidi" w:hAnsiTheme="majorBidi" w:cstheme="majorBidi"/>
                <w:sz w:val="18"/>
                <w:szCs w:val="18"/>
              </w:rPr>
              <w:t>Ib</w:t>
            </w:r>
            <w:proofErr w:type="spellEnd"/>
            <w:r w:rsidRPr="002F4438">
              <w:rPr>
                <w:rFonts w:asciiTheme="majorBidi" w:hAnsiTheme="majorBidi" w:cstheme="majorBidi"/>
                <w:sz w:val="18"/>
                <w:szCs w:val="18"/>
              </w:rPr>
              <w:t xml:space="preserve"> (DV 1973, 13).</w:t>
            </w:r>
          </w:p>
        </w:tc>
        <w:tc>
          <w:tcPr>
            <w:tcW w:w="0" w:type="auto"/>
          </w:tcPr>
          <w:p w:rsidR="00EF3108" w:rsidRPr="002F4438" w:rsidRDefault="00E91D92">
            <w:pPr>
              <w:rPr>
                <w:rFonts w:asciiTheme="majorBidi" w:hAnsiTheme="majorBidi" w:cstheme="majorBidi"/>
                <w:b/>
                <w:bCs/>
                <w:sz w:val="18"/>
                <w:szCs w:val="18"/>
              </w:rPr>
            </w:pPr>
            <w:proofErr w:type="spellStart"/>
            <w:r w:rsidRPr="002F4438">
              <w:rPr>
                <w:rFonts w:asciiTheme="majorBidi" w:hAnsiTheme="majorBidi" w:cstheme="majorBidi"/>
                <w:b/>
                <w:bCs/>
                <w:sz w:val="18"/>
                <w:szCs w:val="18"/>
              </w:rPr>
              <w:t>Ib</w:t>
            </w:r>
            <w:proofErr w:type="spellEnd"/>
          </w:p>
        </w:tc>
      </w:tr>
    </w:tbl>
    <w:p w:rsidR="00EF3108" w:rsidRPr="002F4438" w:rsidRDefault="00EF3108">
      <w:pPr>
        <w:rPr>
          <w:b/>
          <w:bCs/>
          <w:sz w:val="18"/>
          <w:szCs w:val="18"/>
        </w:rPr>
      </w:pPr>
    </w:p>
    <w:sectPr w:rsidR="00EF3108" w:rsidRPr="002F4438" w:rsidSect="00D060CF">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0E93" w:rsidRDefault="00810E93" w:rsidP="003052CC">
      <w:pPr>
        <w:spacing w:after="0" w:line="240" w:lineRule="auto"/>
      </w:pPr>
      <w:r>
        <w:separator/>
      </w:r>
    </w:p>
  </w:endnote>
  <w:endnote w:type="continuationSeparator" w:id="0">
    <w:p w:rsidR="00810E93" w:rsidRDefault="00810E93" w:rsidP="003052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0E93" w:rsidRDefault="00810E93" w:rsidP="003052CC">
      <w:pPr>
        <w:spacing w:after="0" w:line="240" w:lineRule="auto"/>
      </w:pPr>
      <w:r>
        <w:separator/>
      </w:r>
    </w:p>
  </w:footnote>
  <w:footnote w:type="continuationSeparator" w:id="0">
    <w:p w:rsidR="00810E93" w:rsidRDefault="00810E93" w:rsidP="003052CC">
      <w:pPr>
        <w:spacing w:after="0" w:line="240" w:lineRule="auto"/>
      </w:pPr>
      <w:r>
        <w:continuationSeparator/>
      </w:r>
    </w:p>
  </w:footnote>
  <w:footnote w:id="1">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r>
      <w:proofErr w:type="gramStart"/>
      <w:r w:rsidRPr="00ED0B9F">
        <w:rPr>
          <w:rFonts w:asciiTheme="majorBidi" w:hAnsiTheme="majorBidi" w:cstheme="majorBidi"/>
        </w:rPr>
        <w:t>W.F. Albright, “On the Date of the Scrolls from ‘</w:t>
      </w:r>
      <w:proofErr w:type="spellStart"/>
      <w:r w:rsidRPr="00ED0B9F">
        <w:rPr>
          <w:rFonts w:asciiTheme="majorBidi" w:hAnsiTheme="majorBidi" w:cstheme="majorBidi"/>
        </w:rPr>
        <w:t>Ain</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Feshka</w:t>
      </w:r>
      <w:proofErr w:type="spellEnd"/>
      <w:r w:rsidRPr="00ED0B9F">
        <w:rPr>
          <w:rFonts w:asciiTheme="majorBidi" w:hAnsiTheme="majorBidi" w:cstheme="majorBidi"/>
        </w:rPr>
        <w:t xml:space="preserve"> and the Nash Papyrus.”</w:t>
      </w:r>
      <w:proofErr w:type="gramEnd"/>
      <w:r w:rsidRPr="00ED0B9F">
        <w:rPr>
          <w:rFonts w:asciiTheme="majorBidi" w:hAnsiTheme="majorBidi" w:cstheme="majorBidi"/>
        </w:rPr>
        <w:t xml:space="preserve"> </w:t>
      </w:r>
      <w:r w:rsidRPr="00ED0B9F">
        <w:rPr>
          <w:rFonts w:asciiTheme="majorBidi" w:hAnsiTheme="majorBidi" w:cstheme="majorBidi"/>
          <w:i/>
          <w:iCs/>
        </w:rPr>
        <w:t xml:space="preserve">BASOR </w:t>
      </w:r>
      <w:r w:rsidRPr="00ED0B9F">
        <w:rPr>
          <w:rFonts w:asciiTheme="majorBidi" w:hAnsiTheme="majorBidi" w:cstheme="majorBidi"/>
        </w:rPr>
        <w:t>115 (1949): 14-15.</w:t>
      </w:r>
    </w:p>
  </w:footnote>
  <w:footnote w:id="2">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O.R. Sellers, “Excavation of the ‘Manuscript’ Cave at ‘</w:t>
      </w:r>
      <w:proofErr w:type="spellStart"/>
      <w:r w:rsidRPr="00ED0B9F">
        <w:rPr>
          <w:rFonts w:asciiTheme="majorBidi" w:hAnsiTheme="majorBidi" w:cstheme="majorBidi"/>
        </w:rPr>
        <w:t>Ain</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Feshkha</w:t>
      </w:r>
      <w:proofErr w:type="spellEnd"/>
      <w:r w:rsidRPr="00ED0B9F">
        <w:rPr>
          <w:rFonts w:asciiTheme="majorBidi" w:hAnsiTheme="majorBidi" w:cstheme="majorBidi"/>
        </w:rPr>
        <w:t xml:space="preserve">.” </w:t>
      </w:r>
      <w:r w:rsidRPr="00ED0B9F">
        <w:rPr>
          <w:rFonts w:asciiTheme="majorBidi" w:hAnsiTheme="majorBidi" w:cstheme="majorBidi"/>
          <w:i/>
          <w:iCs/>
        </w:rPr>
        <w:t xml:space="preserve">BASOR </w:t>
      </w:r>
      <w:r w:rsidRPr="00ED0B9F">
        <w:rPr>
          <w:rFonts w:asciiTheme="majorBidi" w:hAnsiTheme="majorBidi" w:cstheme="majorBidi"/>
        </w:rPr>
        <w:t>114 (1949): 8.</w:t>
      </w:r>
    </w:p>
  </w:footnote>
  <w:footnote w:id="3">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E.I. </w:t>
      </w:r>
      <w:proofErr w:type="spellStart"/>
      <w:r w:rsidRPr="00ED0B9F">
        <w:rPr>
          <w:rFonts w:asciiTheme="majorBidi" w:hAnsiTheme="majorBidi" w:cstheme="majorBidi"/>
        </w:rPr>
        <w:t>Sukenik</w:t>
      </w:r>
      <w:proofErr w:type="spellEnd"/>
      <w:r w:rsidRPr="00ED0B9F">
        <w:rPr>
          <w:rFonts w:asciiTheme="majorBidi" w:hAnsiTheme="majorBidi" w:cstheme="majorBidi"/>
        </w:rPr>
        <w:t xml:space="preserve">, </w:t>
      </w:r>
      <w:proofErr w:type="gramStart"/>
      <w:r w:rsidRPr="00ED0B9F">
        <w:rPr>
          <w:rFonts w:asciiTheme="majorBidi" w:hAnsiTheme="majorBidi" w:cstheme="majorBidi"/>
          <w:i/>
          <w:iCs/>
        </w:rPr>
        <w:t>The</w:t>
      </w:r>
      <w:proofErr w:type="gramEnd"/>
      <w:r w:rsidRPr="00ED0B9F">
        <w:rPr>
          <w:rFonts w:asciiTheme="majorBidi" w:hAnsiTheme="majorBidi" w:cstheme="majorBidi"/>
          <w:i/>
          <w:iCs/>
        </w:rPr>
        <w:t xml:space="preserve"> Dead Sea Scrolls of the Hebrew University </w:t>
      </w:r>
      <w:r w:rsidRPr="00ED0B9F">
        <w:rPr>
          <w:rFonts w:asciiTheme="majorBidi" w:hAnsiTheme="majorBidi" w:cstheme="majorBidi"/>
        </w:rPr>
        <w:t>(Jerusalem: Hebrew University, 1955), 20.</w:t>
      </w:r>
    </w:p>
  </w:footnote>
  <w:footnote w:id="4">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S.A. </w:t>
      </w:r>
      <w:proofErr w:type="spellStart"/>
      <w:r w:rsidRPr="00ED0B9F">
        <w:rPr>
          <w:rFonts w:asciiTheme="majorBidi" w:hAnsiTheme="majorBidi" w:cstheme="majorBidi"/>
        </w:rPr>
        <w:t>Birnbaum</w:t>
      </w:r>
      <w:proofErr w:type="spellEnd"/>
      <w:r w:rsidRPr="00ED0B9F">
        <w:rPr>
          <w:rFonts w:asciiTheme="majorBidi" w:hAnsiTheme="majorBidi" w:cstheme="majorBidi"/>
        </w:rPr>
        <w:t xml:space="preserve">, “Notes on the Internal and Archaeological Evidence Concerning the Cave Scrolls.” </w:t>
      </w:r>
      <w:r w:rsidRPr="00ED0B9F">
        <w:rPr>
          <w:rFonts w:asciiTheme="majorBidi" w:hAnsiTheme="majorBidi" w:cstheme="majorBidi"/>
          <w:i/>
          <w:iCs/>
        </w:rPr>
        <w:t xml:space="preserve">JBL </w:t>
      </w:r>
      <w:r w:rsidRPr="00ED0B9F">
        <w:rPr>
          <w:rFonts w:asciiTheme="majorBidi" w:hAnsiTheme="majorBidi" w:cstheme="majorBidi"/>
        </w:rPr>
        <w:t xml:space="preserve">70 (1951): 232 writes: “the Manuscripts could not have been written—nor, of course, the works composed—later than the middle of the first century B.C.E.”. See also id., “The Dates of the Cave Scrolls.” </w:t>
      </w:r>
      <w:r w:rsidRPr="00ED0B9F">
        <w:rPr>
          <w:rFonts w:asciiTheme="majorBidi" w:hAnsiTheme="majorBidi" w:cstheme="majorBidi"/>
          <w:i/>
          <w:iCs/>
        </w:rPr>
        <w:t xml:space="preserve">BASOR </w:t>
      </w:r>
      <w:r w:rsidRPr="00ED0B9F">
        <w:rPr>
          <w:rFonts w:asciiTheme="majorBidi" w:hAnsiTheme="majorBidi" w:cstheme="majorBidi"/>
        </w:rPr>
        <w:t>115 (1949): 20: “[I]t was at all times beyond question that the handwriting of none of the Scrolls is later than about the middle of the first pre-Christian century”.</w:t>
      </w:r>
    </w:p>
  </w:footnote>
  <w:footnote w:id="5">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lang w:val="da-DK"/>
        </w:rPr>
        <w:t xml:space="preserve"> </w:t>
      </w:r>
      <w:r w:rsidRPr="00ED0B9F">
        <w:rPr>
          <w:rFonts w:asciiTheme="majorBidi" w:hAnsiTheme="majorBidi" w:cstheme="majorBidi"/>
          <w:lang w:val="da-DK"/>
        </w:rPr>
        <w:tab/>
        <w:t xml:space="preserve">R. de Vaux, “Fouille au Khirbet Qumrân: Rapport préliminaire,” </w:t>
      </w:r>
      <w:r w:rsidRPr="00ED0B9F">
        <w:rPr>
          <w:rFonts w:asciiTheme="majorBidi" w:hAnsiTheme="majorBidi" w:cstheme="majorBidi"/>
          <w:i/>
          <w:iCs/>
          <w:lang w:val="da-DK"/>
        </w:rPr>
        <w:t>RB</w:t>
      </w:r>
      <w:r w:rsidRPr="00ED0B9F">
        <w:rPr>
          <w:rFonts w:asciiTheme="majorBidi" w:hAnsiTheme="majorBidi" w:cstheme="majorBidi"/>
          <w:lang w:val="da-DK"/>
        </w:rPr>
        <w:t xml:space="preserve"> 60 (1953): 94; id., </w:t>
      </w:r>
      <w:r w:rsidRPr="00ED0B9F">
        <w:rPr>
          <w:rFonts w:asciiTheme="majorBidi" w:hAnsiTheme="majorBidi" w:cstheme="majorBidi"/>
          <w:i/>
          <w:iCs/>
          <w:lang w:val="da-DK"/>
        </w:rPr>
        <w:t xml:space="preserve">Fouilles de Khirbet Qumrân et de Ain Feshka. </w:t>
      </w:r>
      <w:r w:rsidRPr="00ED0B9F">
        <w:rPr>
          <w:rFonts w:asciiTheme="majorBidi" w:hAnsiTheme="majorBidi" w:cstheme="majorBidi"/>
          <w:lang w:val="da-DK"/>
        </w:rPr>
        <w:t xml:space="preserve">Vol. 1: </w:t>
      </w:r>
      <w:r w:rsidRPr="00ED0B9F">
        <w:rPr>
          <w:rFonts w:asciiTheme="majorBidi" w:hAnsiTheme="majorBidi" w:cstheme="majorBidi"/>
          <w:i/>
          <w:iCs/>
          <w:lang w:val="da-DK"/>
        </w:rPr>
        <w:t xml:space="preserve">Album de photogaphies. Répertoire du fonds photographiques. </w:t>
      </w:r>
      <w:r w:rsidRPr="004D12FB">
        <w:rPr>
          <w:rFonts w:asciiTheme="majorBidi" w:hAnsiTheme="majorBidi" w:cstheme="majorBidi"/>
          <w:i/>
          <w:iCs/>
          <w:lang w:val="da-DK"/>
        </w:rPr>
        <w:t>Synthèse des notes de chantier du Père Roland de Vaux</w:t>
      </w:r>
      <w:r w:rsidRPr="004D12FB">
        <w:rPr>
          <w:rFonts w:asciiTheme="majorBidi" w:hAnsiTheme="majorBidi" w:cstheme="majorBidi"/>
          <w:lang w:val="da-DK"/>
        </w:rPr>
        <w:t xml:space="preserve">. </w:t>
      </w:r>
      <w:proofErr w:type="gramStart"/>
      <w:r w:rsidRPr="00ED0B9F">
        <w:rPr>
          <w:rFonts w:asciiTheme="majorBidi" w:hAnsiTheme="majorBidi" w:cstheme="majorBidi"/>
        </w:rPr>
        <w:t>NTOA.SA 1 (Edited by J.-B.</w:t>
      </w:r>
      <w:proofErr w:type="gramEnd"/>
      <w:r w:rsidRPr="00ED0B9F">
        <w:rPr>
          <w:rFonts w:asciiTheme="majorBidi" w:hAnsiTheme="majorBidi" w:cstheme="majorBidi"/>
        </w:rPr>
        <w:t xml:space="preserve"> </w:t>
      </w:r>
      <w:proofErr w:type="spellStart"/>
      <w:r w:rsidRPr="00ED0B9F">
        <w:rPr>
          <w:rFonts w:asciiTheme="majorBidi" w:hAnsiTheme="majorBidi" w:cstheme="majorBidi"/>
        </w:rPr>
        <w:t>Humbert</w:t>
      </w:r>
      <w:proofErr w:type="spellEnd"/>
      <w:r w:rsidRPr="00ED0B9F">
        <w:rPr>
          <w:rFonts w:asciiTheme="majorBidi" w:hAnsiTheme="majorBidi" w:cstheme="majorBidi"/>
        </w:rPr>
        <w:t xml:space="preserve"> and A. </w:t>
      </w:r>
      <w:proofErr w:type="spellStart"/>
      <w:r w:rsidRPr="00ED0B9F">
        <w:rPr>
          <w:rFonts w:asciiTheme="majorBidi" w:hAnsiTheme="majorBidi" w:cstheme="majorBidi"/>
        </w:rPr>
        <w:t>Chambon</w:t>
      </w:r>
      <w:proofErr w:type="spellEnd"/>
      <w:r w:rsidRPr="00ED0B9F">
        <w:rPr>
          <w:rFonts w:asciiTheme="majorBidi" w:hAnsiTheme="majorBidi" w:cstheme="majorBidi"/>
        </w:rPr>
        <w:t xml:space="preserve">; Fribourg: </w:t>
      </w:r>
      <w:proofErr w:type="spellStart"/>
      <w:r w:rsidRPr="00ED0B9F">
        <w:rPr>
          <w:rFonts w:asciiTheme="majorBidi" w:hAnsiTheme="majorBidi" w:cstheme="majorBidi"/>
        </w:rPr>
        <w:t>Éditions</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Universitaires</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Göttingen</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Vanderhoeck</w:t>
      </w:r>
      <w:proofErr w:type="spellEnd"/>
      <w:r w:rsidRPr="00ED0B9F">
        <w:rPr>
          <w:rFonts w:asciiTheme="majorBidi" w:hAnsiTheme="majorBidi" w:cstheme="majorBidi"/>
        </w:rPr>
        <w:t xml:space="preserve"> &amp; </w:t>
      </w:r>
      <w:proofErr w:type="spellStart"/>
      <w:r w:rsidRPr="00ED0B9F">
        <w:rPr>
          <w:rFonts w:asciiTheme="majorBidi" w:hAnsiTheme="majorBidi" w:cstheme="majorBidi"/>
        </w:rPr>
        <w:t>Ruprecht</w:t>
      </w:r>
      <w:proofErr w:type="spellEnd"/>
      <w:r w:rsidRPr="00ED0B9F">
        <w:rPr>
          <w:rFonts w:asciiTheme="majorBidi" w:hAnsiTheme="majorBidi" w:cstheme="majorBidi"/>
        </w:rPr>
        <w:t>, 1994), 292 (3 December 1951) and photo 141.</w:t>
      </w:r>
    </w:p>
  </w:footnote>
  <w:footnote w:id="6">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De Vaux wrote in a report to the </w:t>
      </w:r>
      <w:proofErr w:type="spellStart"/>
      <w:r w:rsidRPr="00ED0B9F">
        <w:rPr>
          <w:rFonts w:asciiTheme="majorBidi" w:hAnsiTheme="majorBidi" w:cstheme="majorBidi"/>
        </w:rPr>
        <w:t>Académie</w:t>
      </w:r>
      <w:proofErr w:type="spellEnd"/>
      <w:r w:rsidRPr="00ED0B9F">
        <w:rPr>
          <w:rFonts w:asciiTheme="majorBidi" w:hAnsiTheme="majorBidi" w:cstheme="majorBidi"/>
        </w:rPr>
        <w:t xml:space="preserve"> des Inscriptions </w:t>
      </w:r>
      <w:proofErr w:type="gramStart"/>
      <w:r w:rsidRPr="00ED0B9F">
        <w:rPr>
          <w:rFonts w:asciiTheme="majorBidi" w:hAnsiTheme="majorBidi" w:cstheme="majorBidi"/>
        </w:rPr>
        <w:t>et</w:t>
      </w:r>
      <w:proofErr w:type="gramEnd"/>
      <w:r w:rsidRPr="00ED0B9F">
        <w:rPr>
          <w:rFonts w:asciiTheme="majorBidi" w:hAnsiTheme="majorBidi" w:cstheme="majorBidi"/>
        </w:rPr>
        <w:t xml:space="preserve"> Belles-</w:t>
      </w:r>
      <w:proofErr w:type="spellStart"/>
      <w:r w:rsidRPr="00ED0B9F">
        <w:rPr>
          <w:rFonts w:asciiTheme="majorBidi" w:hAnsiTheme="majorBidi" w:cstheme="majorBidi"/>
        </w:rPr>
        <w:t>Lettres</w:t>
      </w:r>
      <w:proofErr w:type="spellEnd"/>
      <w:r w:rsidRPr="00ED0B9F">
        <w:rPr>
          <w:rFonts w:asciiTheme="majorBidi" w:hAnsiTheme="majorBidi" w:cstheme="majorBidi"/>
        </w:rPr>
        <w:t xml:space="preserve"> in Paris, quoted in </w:t>
      </w:r>
      <w:r w:rsidRPr="00ED0B9F">
        <w:rPr>
          <w:rFonts w:asciiTheme="majorBidi" w:hAnsiTheme="majorBidi" w:cstheme="majorBidi"/>
          <w:i/>
          <w:iCs/>
        </w:rPr>
        <w:t>Le monde</w:t>
      </w:r>
      <w:r w:rsidRPr="00ED0B9F">
        <w:rPr>
          <w:rFonts w:asciiTheme="majorBidi" w:hAnsiTheme="majorBidi" w:cstheme="majorBidi"/>
        </w:rPr>
        <w:t xml:space="preserve">, 9 April 1952, as cited in </w:t>
      </w:r>
      <w:proofErr w:type="spellStart"/>
      <w:r w:rsidRPr="00ED0B9F">
        <w:rPr>
          <w:rFonts w:asciiTheme="majorBidi" w:hAnsiTheme="majorBidi" w:cstheme="majorBidi"/>
          <w:i/>
          <w:iCs/>
        </w:rPr>
        <w:t>Mogilany</w:t>
      </w:r>
      <w:proofErr w:type="spellEnd"/>
      <w:r w:rsidRPr="00ED0B9F">
        <w:rPr>
          <w:rFonts w:asciiTheme="majorBidi" w:hAnsiTheme="majorBidi" w:cstheme="majorBidi"/>
          <w:i/>
          <w:iCs/>
        </w:rPr>
        <w:t xml:space="preserve"> 1995. Papers on the Dead Sea Scrolls Offered in Memory of </w:t>
      </w:r>
      <w:proofErr w:type="spellStart"/>
      <w:r w:rsidRPr="00ED0B9F">
        <w:rPr>
          <w:rFonts w:asciiTheme="majorBidi" w:hAnsiTheme="majorBidi" w:cstheme="majorBidi"/>
          <w:i/>
          <w:iCs/>
        </w:rPr>
        <w:t>Aleksy</w:t>
      </w:r>
      <w:proofErr w:type="spellEnd"/>
      <w:r w:rsidRPr="00ED0B9F">
        <w:rPr>
          <w:rFonts w:asciiTheme="majorBidi" w:hAnsiTheme="majorBidi" w:cstheme="majorBidi"/>
          <w:i/>
          <w:iCs/>
        </w:rPr>
        <w:t xml:space="preserve"> </w:t>
      </w:r>
      <w:proofErr w:type="spellStart"/>
      <w:r w:rsidRPr="00ED0B9F">
        <w:rPr>
          <w:rFonts w:asciiTheme="majorBidi" w:hAnsiTheme="majorBidi" w:cstheme="majorBidi"/>
          <w:i/>
          <w:iCs/>
        </w:rPr>
        <w:t>Klawek</w:t>
      </w:r>
      <w:proofErr w:type="spellEnd"/>
      <w:r w:rsidRPr="00ED0B9F">
        <w:rPr>
          <w:rFonts w:asciiTheme="majorBidi" w:hAnsiTheme="majorBidi" w:cstheme="majorBidi"/>
          <w:i/>
          <w:iCs/>
        </w:rPr>
        <w:t xml:space="preserve">. </w:t>
      </w:r>
      <w:proofErr w:type="spellStart"/>
      <w:r w:rsidRPr="00ED0B9F">
        <w:rPr>
          <w:rFonts w:asciiTheme="majorBidi" w:hAnsiTheme="majorBidi" w:cstheme="majorBidi"/>
        </w:rPr>
        <w:t>Qumranica</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Mogilanensia</w:t>
      </w:r>
      <w:proofErr w:type="spellEnd"/>
      <w:r w:rsidRPr="00ED0B9F">
        <w:rPr>
          <w:rFonts w:asciiTheme="majorBidi" w:hAnsiTheme="majorBidi" w:cstheme="majorBidi"/>
        </w:rPr>
        <w:t xml:space="preserve"> 15 (Edited by Z.J. </w:t>
      </w:r>
      <w:proofErr w:type="spellStart"/>
      <w:r w:rsidRPr="00ED0B9F">
        <w:rPr>
          <w:rFonts w:asciiTheme="majorBidi" w:hAnsiTheme="majorBidi" w:cstheme="majorBidi"/>
        </w:rPr>
        <w:t>Kapera</w:t>
      </w:r>
      <w:proofErr w:type="spellEnd"/>
      <w:r w:rsidRPr="00ED0B9F">
        <w:rPr>
          <w:rFonts w:asciiTheme="majorBidi" w:hAnsiTheme="majorBidi" w:cstheme="majorBidi"/>
        </w:rPr>
        <w:t xml:space="preserve">; Cracow: Enigma, 1998), 86: “Je me </w:t>
      </w:r>
      <w:proofErr w:type="spellStart"/>
      <w:proofErr w:type="gramStart"/>
      <w:r w:rsidRPr="00ED0B9F">
        <w:rPr>
          <w:rFonts w:asciiTheme="majorBidi" w:hAnsiTheme="majorBidi" w:cstheme="majorBidi"/>
        </w:rPr>
        <w:t>suis</w:t>
      </w:r>
      <w:proofErr w:type="spellEnd"/>
      <w:proofErr w:type="gramEnd"/>
      <w:r w:rsidRPr="00ED0B9F">
        <w:rPr>
          <w:rFonts w:asciiTheme="majorBidi" w:hAnsiTheme="majorBidi" w:cstheme="majorBidi"/>
        </w:rPr>
        <w:t xml:space="preserve"> </w:t>
      </w:r>
      <w:proofErr w:type="spellStart"/>
      <w:r w:rsidRPr="00ED0B9F">
        <w:rPr>
          <w:rFonts w:asciiTheme="majorBidi" w:hAnsiTheme="majorBidi" w:cstheme="majorBidi"/>
        </w:rPr>
        <w:t>trompé</w:t>
      </w:r>
      <w:proofErr w:type="spellEnd"/>
      <w:r w:rsidRPr="00ED0B9F">
        <w:rPr>
          <w:rFonts w:asciiTheme="majorBidi" w:hAnsiTheme="majorBidi" w:cstheme="majorBidi"/>
        </w:rPr>
        <w:t xml:space="preserve"> en </w:t>
      </w:r>
      <w:proofErr w:type="spellStart"/>
      <w:r w:rsidRPr="00ED0B9F">
        <w:rPr>
          <w:rFonts w:asciiTheme="majorBidi" w:hAnsiTheme="majorBidi" w:cstheme="majorBidi"/>
        </w:rPr>
        <w:t>attribuant</w:t>
      </w:r>
      <w:proofErr w:type="spellEnd"/>
      <w:r w:rsidRPr="00ED0B9F">
        <w:rPr>
          <w:rFonts w:asciiTheme="majorBidi" w:hAnsiTheme="majorBidi" w:cstheme="majorBidi"/>
        </w:rPr>
        <w:t xml:space="preserve"> les </w:t>
      </w:r>
      <w:proofErr w:type="spellStart"/>
      <w:r w:rsidRPr="00ED0B9F">
        <w:rPr>
          <w:rFonts w:asciiTheme="majorBidi" w:hAnsiTheme="majorBidi" w:cstheme="majorBidi"/>
        </w:rPr>
        <w:t>jarres</w:t>
      </w:r>
      <w:proofErr w:type="spellEnd"/>
      <w:r w:rsidRPr="00ED0B9F">
        <w:rPr>
          <w:rFonts w:asciiTheme="majorBidi" w:hAnsiTheme="majorBidi" w:cstheme="majorBidi"/>
        </w:rPr>
        <w:t xml:space="preserve"> des </w:t>
      </w:r>
      <w:proofErr w:type="spellStart"/>
      <w:r w:rsidRPr="00ED0B9F">
        <w:rPr>
          <w:rFonts w:asciiTheme="majorBidi" w:hAnsiTheme="majorBidi" w:cstheme="majorBidi"/>
        </w:rPr>
        <w:t>manuscrits</w:t>
      </w:r>
      <w:proofErr w:type="spellEnd"/>
      <w:r w:rsidRPr="00ED0B9F">
        <w:rPr>
          <w:rFonts w:asciiTheme="majorBidi" w:hAnsiTheme="majorBidi" w:cstheme="majorBidi"/>
        </w:rPr>
        <w:t xml:space="preserve"> à </w:t>
      </w:r>
      <w:proofErr w:type="spellStart"/>
      <w:r w:rsidRPr="00ED0B9F">
        <w:rPr>
          <w:rFonts w:asciiTheme="majorBidi" w:hAnsiTheme="majorBidi" w:cstheme="majorBidi"/>
        </w:rPr>
        <w:t>l’époque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préromaine</w:t>
      </w:r>
      <w:proofErr w:type="spellEnd"/>
      <w:r w:rsidRPr="00ED0B9F">
        <w:rPr>
          <w:rFonts w:asciiTheme="majorBidi" w:hAnsiTheme="majorBidi" w:cstheme="majorBidi"/>
        </w:rPr>
        <w:t xml:space="preserve">; ells </w:t>
      </w:r>
      <w:proofErr w:type="spellStart"/>
      <w:r w:rsidRPr="00ED0B9F">
        <w:rPr>
          <w:rFonts w:asciiTheme="majorBidi" w:hAnsiTheme="majorBidi" w:cstheme="majorBidi"/>
        </w:rPr>
        <w:t>sont</w:t>
      </w:r>
      <w:proofErr w:type="spellEnd"/>
      <w:r w:rsidRPr="00ED0B9F">
        <w:rPr>
          <w:rFonts w:asciiTheme="majorBidi" w:hAnsiTheme="majorBidi" w:cstheme="majorBidi"/>
        </w:rPr>
        <w:t xml:space="preserve"> d’un bon siècle plus </w:t>
      </w:r>
      <w:proofErr w:type="spellStart"/>
      <w:r w:rsidRPr="00ED0B9F">
        <w:rPr>
          <w:rFonts w:asciiTheme="majorBidi" w:hAnsiTheme="majorBidi" w:cstheme="majorBidi"/>
        </w:rPr>
        <w:t>tardives</w:t>
      </w:r>
      <w:proofErr w:type="spellEnd"/>
      <w:r w:rsidRPr="00ED0B9F">
        <w:rPr>
          <w:rFonts w:asciiTheme="majorBidi" w:hAnsiTheme="majorBidi" w:cstheme="majorBidi"/>
        </w:rPr>
        <w:t>.”</w:t>
      </w:r>
      <w:r>
        <w:rPr>
          <w:rFonts w:asciiTheme="majorBidi" w:hAnsiTheme="majorBidi" w:cstheme="majorBidi"/>
        </w:rPr>
        <w:t xml:space="preserve"> [= “I was wrong in dating the jars with the scrolls to the pre-Roman period; they are a good century later.”]</w:t>
      </w:r>
    </w:p>
  </w:footnote>
  <w:footnote w:id="7">
    <w:p w:rsidR="00444F86" w:rsidRPr="00ED0B9F" w:rsidRDefault="00444F86" w:rsidP="003355CC">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G.E. Wright, “Qumran Excavations.” </w:t>
      </w:r>
      <w:r w:rsidRPr="00ED0B9F">
        <w:rPr>
          <w:rFonts w:asciiTheme="majorBidi" w:hAnsiTheme="majorBidi" w:cstheme="majorBidi"/>
          <w:i/>
          <w:iCs/>
        </w:rPr>
        <w:t xml:space="preserve">BA </w:t>
      </w:r>
      <w:r w:rsidRPr="00ED0B9F">
        <w:rPr>
          <w:rFonts w:asciiTheme="majorBidi" w:hAnsiTheme="majorBidi" w:cstheme="majorBidi"/>
        </w:rPr>
        <w:t>16 (1953): 8 writes: “[A]n excavation in December of 1951 at Khirbet Qumran [. . .] has had the effect of correcting the dating originally assigned to the cave pottery from the 1</w:t>
      </w:r>
      <w:r w:rsidRPr="00ED0B9F">
        <w:rPr>
          <w:rFonts w:asciiTheme="majorBidi" w:hAnsiTheme="majorBidi" w:cstheme="majorBidi"/>
          <w:vertAlign w:val="superscript"/>
        </w:rPr>
        <w:t>st</w:t>
      </w:r>
      <w:r w:rsidRPr="00ED0B9F">
        <w:rPr>
          <w:rFonts w:asciiTheme="majorBidi" w:hAnsiTheme="majorBidi" w:cstheme="majorBidi"/>
        </w:rPr>
        <w:t xml:space="preserve"> Century B.C. to the 1</w:t>
      </w:r>
      <w:r w:rsidRPr="00ED0B9F">
        <w:rPr>
          <w:rFonts w:asciiTheme="majorBidi" w:hAnsiTheme="majorBidi" w:cstheme="majorBidi"/>
          <w:vertAlign w:val="superscript"/>
        </w:rPr>
        <w:t>st</w:t>
      </w:r>
      <w:r w:rsidRPr="00ED0B9F">
        <w:rPr>
          <w:rFonts w:asciiTheme="majorBidi" w:hAnsiTheme="majorBidi" w:cstheme="majorBidi"/>
        </w:rPr>
        <w:t xml:space="preserve"> Century A.D. Coins were found dating as late as the 1</w:t>
      </w:r>
      <w:r w:rsidRPr="00ED0B9F">
        <w:rPr>
          <w:rFonts w:asciiTheme="majorBidi" w:hAnsiTheme="majorBidi" w:cstheme="majorBidi"/>
          <w:vertAlign w:val="superscript"/>
        </w:rPr>
        <w:t>st</w:t>
      </w:r>
      <w:r w:rsidRPr="00ED0B9F">
        <w:rPr>
          <w:rFonts w:asciiTheme="majorBidi" w:hAnsiTheme="majorBidi" w:cstheme="majorBidi"/>
        </w:rPr>
        <w:t xml:space="preserve"> revolt (67 A.D.), in connection with a jar identical with those found in the cave.”</w:t>
      </w:r>
    </w:p>
  </w:footnote>
  <w:footnote w:id="8">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G.L. Harding, “Introduction, the Discovery, the Excavation, Minor Finds.” In: </w:t>
      </w:r>
      <w:r w:rsidRPr="00ED0B9F">
        <w:rPr>
          <w:rFonts w:asciiTheme="majorBidi" w:hAnsiTheme="majorBidi" w:cstheme="majorBidi"/>
          <w:i/>
          <w:iCs/>
        </w:rPr>
        <w:t>Qumran Cave 1</w:t>
      </w:r>
      <w:r w:rsidRPr="00ED0B9F">
        <w:rPr>
          <w:rFonts w:asciiTheme="majorBidi" w:hAnsiTheme="majorBidi" w:cstheme="majorBidi"/>
        </w:rPr>
        <w:t xml:space="preserve">. DJD 1 (Edited by D. </w:t>
      </w:r>
      <w:proofErr w:type="spellStart"/>
      <w:r w:rsidRPr="00ED0B9F">
        <w:rPr>
          <w:rFonts w:asciiTheme="majorBidi" w:hAnsiTheme="majorBidi" w:cstheme="majorBidi"/>
        </w:rPr>
        <w:t>Barthélemy</w:t>
      </w:r>
      <w:proofErr w:type="spellEnd"/>
      <w:r w:rsidRPr="00ED0B9F">
        <w:rPr>
          <w:rFonts w:asciiTheme="majorBidi" w:hAnsiTheme="majorBidi" w:cstheme="majorBidi"/>
        </w:rPr>
        <w:t xml:space="preserve"> and J.T. </w:t>
      </w:r>
      <w:proofErr w:type="spellStart"/>
      <w:r w:rsidRPr="00ED0B9F">
        <w:rPr>
          <w:rFonts w:asciiTheme="majorBidi" w:hAnsiTheme="majorBidi" w:cstheme="majorBidi"/>
        </w:rPr>
        <w:t>Milik</w:t>
      </w:r>
      <w:proofErr w:type="spellEnd"/>
      <w:r w:rsidRPr="00ED0B9F">
        <w:rPr>
          <w:rFonts w:asciiTheme="majorBidi" w:hAnsiTheme="majorBidi" w:cstheme="majorBidi"/>
        </w:rPr>
        <w:t>; Oxford: Clarendon), 4.</w:t>
      </w:r>
    </w:p>
  </w:footnote>
  <w:footnote w:id="9">
    <w:p w:rsidR="00444F86" w:rsidRPr="00ED0B9F" w:rsidRDefault="00444F86" w:rsidP="005A2475">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lang w:val="da-DK"/>
        </w:rPr>
        <w:t xml:space="preserve"> </w:t>
      </w:r>
      <w:r w:rsidRPr="00ED0B9F">
        <w:rPr>
          <w:rFonts w:asciiTheme="majorBidi" w:hAnsiTheme="majorBidi" w:cstheme="majorBidi"/>
          <w:lang w:val="da-DK"/>
        </w:rPr>
        <w:tab/>
        <w:t xml:space="preserve">R. de Vaux, “Fouilles au Khirbet Qumrân. </w:t>
      </w:r>
      <w:proofErr w:type="gramStart"/>
      <w:r w:rsidRPr="00ED0B9F">
        <w:rPr>
          <w:rFonts w:asciiTheme="majorBidi" w:hAnsiTheme="majorBidi" w:cstheme="majorBidi"/>
        </w:rPr>
        <w:t xml:space="preserve">Rapport </w:t>
      </w:r>
      <w:proofErr w:type="spellStart"/>
      <w:r w:rsidRPr="00ED0B9F">
        <w:rPr>
          <w:rFonts w:asciiTheme="majorBidi" w:hAnsiTheme="majorBidi" w:cstheme="majorBidi"/>
        </w:rPr>
        <w:t>préliminaire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sur</w:t>
      </w:r>
      <w:proofErr w:type="spellEnd"/>
      <w:r w:rsidRPr="00ED0B9F">
        <w:rPr>
          <w:rFonts w:asciiTheme="majorBidi" w:hAnsiTheme="majorBidi" w:cstheme="majorBidi"/>
        </w:rPr>
        <w:t xml:space="preserve"> le </w:t>
      </w:r>
      <w:proofErr w:type="spellStart"/>
      <w:r w:rsidRPr="00ED0B9F">
        <w:rPr>
          <w:rFonts w:asciiTheme="majorBidi" w:hAnsiTheme="majorBidi" w:cstheme="majorBidi"/>
        </w:rPr>
        <w:t>deuxième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campagne</w:t>
      </w:r>
      <w:proofErr w:type="spellEnd"/>
      <w:r w:rsidRPr="00ED0B9F">
        <w:rPr>
          <w:rFonts w:asciiTheme="majorBidi" w:hAnsiTheme="majorBidi" w:cstheme="majorBidi"/>
        </w:rPr>
        <w:t>.”</w:t>
      </w:r>
      <w:proofErr w:type="gramEnd"/>
      <w:r w:rsidRPr="00ED0B9F">
        <w:rPr>
          <w:rFonts w:asciiTheme="majorBidi" w:hAnsiTheme="majorBidi" w:cstheme="majorBidi"/>
        </w:rPr>
        <w:t xml:space="preserve"> </w:t>
      </w:r>
      <w:r w:rsidRPr="00ED0B9F">
        <w:rPr>
          <w:rFonts w:asciiTheme="majorBidi" w:hAnsiTheme="majorBidi" w:cstheme="majorBidi"/>
          <w:i/>
          <w:iCs/>
        </w:rPr>
        <w:t xml:space="preserve">RB </w:t>
      </w:r>
      <w:r w:rsidRPr="00ED0B9F">
        <w:rPr>
          <w:rFonts w:asciiTheme="majorBidi" w:hAnsiTheme="majorBidi" w:cstheme="majorBidi"/>
        </w:rPr>
        <w:t>61 (1954): 229 writes: “[L]</w:t>
      </w:r>
      <w:proofErr w:type="spellStart"/>
      <w:r w:rsidRPr="00ED0B9F">
        <w:rPr>
          <w:rFonts w:asciiTheme="majorBidi" w:hAnsiTheme="majorBidi" w:cstheme="majorBidi"/>
        </w:rPr>
        <w:t>es</w:t>
      </w:r>
      <w:proofErr w:type="spellEnd"/>
      <w:r w:rsidRPr="00ED0B9F">
        <w:rPr>
          <w:rFonts w:asciiTheme="majorBidi" w:hAnsiTheme="majorBidi" w:cstheme="majorBidi"/>
        </w:rPr>
        <w:t xml:space="preserve"> </w:t>
      </w:r>
      <w:proofErr w:type="gramStart"/>
      <w:r w:rsidRPr="00ED0B9F">
        <w:rPr>
          <w:rFonts w:asciiTheme="majorBidi" w:hAnsiTheme="majorBidi" w:cstheme="majorBidi"/>
        </w:rPr>
        <w:t>premiers</w:t>
      </w:r>
      <w:proofErr w:type="gramEnd"/>
      <w:r w:rsidRPr="00ED0B9F">
        <w:rPr>
          <w:rFonts w:asciiTheme="majorBidi" w:hAnsiTheme="majorBidi" w:cstheme="majorBidi"/>
        </w:rPr>
        <w:t xml:space="preserve"> </w:t>
      </w:r>
      <w:proofErr w:type="spellStart"/>
      <w:r w:rsidRPr="00ED0B9F">
        <w:rPr>
          <w:rFonts w:asciiTheme="majorBidi" w:hAnsiTheme="majorBidi" w:cstheme="majorBidi"/>
        </w:rPr>
        <w:t>dégagements</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n’ayant</w:t>
      </w:r>
      <w:proofErr w:type="spellEnd"/>
      <w:r w:rsidRPr="00ED0B9F">
        <w:rPr>
          <w:rFonts w:asciiTheme="majorBidi" w:hAnsiTheme="majorBidi" w:cstheme="majorBidi"/>
        </w:rPr>
        <w:t xml:space="preserve"> pas attaint le </w:t>
      </w:r>
      <w:proofErr w:type="spellStart"/>
      <w:r w:rsidRPr="00ED0B9F">
        <w:rPr>
          <w:rFonts w:asciiTheme="majorBidi" w:hAnsiTheme="majorBidi" w:cstheme="majorBidi"/>
        </w:rPr>
        <w:t>niv</w:t>
      </w:r>
      <w:proofErr w:type="spellEnd"/>
      <w:r w:rsidRPr="00ED0B9F">
        <w:rPr>
          <w:rFonts w:asciiTheme="majorBidi" w:hAnsiTheme="majorBidi" w:cstheme="majorBidi"/>
        </w:rPr>
        <w:t xml:space="preserve">. </w:t>
      </w:r>
      <w:r w:rsidRPr="00ED0B9F">
        <w:rPr>
          <w:rFonts w:asciiTheme="majorBidi" w:hAnsiTheme="majorBidi" w:cstheme="majorBidi"/>
          <w:lang w:val="da-DK"/>
        </w:rPr>
        <w:t xml:space="preserve">I à l’état pur, les periods I et II ont été d’après une juste estimation de la poterie, qui appartenait en effet au niv. </w:t>
      </w:r>
      <w:proofErr w:type="gramStart"/>
      <w:r w:rsidRPr="00ED0B9F">
        <w:rPr>
          <w:rFonts w:asciiTheme="majorBidi" w:hAnsiTheme="majorBidi" w:cstheme="majorBidi"/>
        </w:rPr>
        <w:t>II.”</w:t>
      </w:r>
      <w:proofErr w:type="gramEnd"/>
      <w:r w:rsidRPr="00ED0B9F">
        <w:rPr>
          <w:rFonts w:asciiTheme="majorBidi" w:hAnsiTheme="majorBidi" w:cstheme="majorBidi"/>
        </w:rPr>
        <w:t xml:space="preserve"> On the Period </w:t>
      </w:r>
      <w:proofErr w:type="spellStart"/>
      <w:r w:rsidRPr="00ED0B9F">
        <w:rPr>
          <w:rFonts w:asciiTheme="majorBidi" w:hAnsiTheme="majorBidi" w:cstheme="majorBidi"/>
        </w:rPr>
        <w:t>Ib</w:t>
      </w:r>
      <w:proofErr w:type="spellEnd"/>
      <w:r w:rsidRPr="00ED0B9F">
        <w:rPr>
          <w:rFonts w:asciiTheme="majorBidi" w:hAnsiTheme="majorBidi" w:cstheme="majorBidi"/>
        </w:rPr>
        <w:t xml:space="preserve"> construction of the locus 2 </w:t>
      </w:r>
      <w:proofErr w:type="gramStart"/>
      <w:r w:rsidRPr="00ED0B9F">
        <w:rPr>
          <w:rFonts w:asciiTheme="majorBidi" w:hAnsiTheme="majorBidi" w:cstheme="majorBidi"/>
        </w:rPr>
        <w:t>floor</w:t>
      </w:r>
      <w:proofErr w:type="gramEnd"/>
      <w:r w:rsidRPr="00ED0B9F">
        <w:rPr>
          <w:rFonts w:asciiTheme="majorBidi" w:hAnsiTheme="majorBidi" w:cstheme="majorBidi"/>
        </w:rPr>
        <w:t xml:space="preserve">, in which the scroll jar was buried, see id., </w:t>
      </w:r>
      <w:r w:rsidRPr="00ED0B9F">
        <w:rPr>
          <w:rFonts w:asciiTheme="majorBidi" w:hAnsiTheme="majorBidi" w:cstheme="majorBidi"/>
          <w:i/>
          <w:iCs/>
        </w:rPr>
        <w:t xml:space="preserve">Archaeology and the Dead Sea Scrolls </w:t>
      </w:r>
      <w:r w:rsidRPr="00ED0B9F">
        <w:rPr>
          <w:rFonts w:asciiTheme="majorBidi" w:hAnsiTheme="majorBidi" w:cstheme="majorBidi"/>
        </w:rPr>
        <w:t>(London: Oxford University Press, for the British Academy, 1973), 5-7 and plate VI. Soundings confirmed there was no floor level in locus 2 below the floor where the scroll jar was found (</w:t>
      </w:r>
      <w:proofErr w:type="spellStart"/>
      <w:r w:rsidRPr="00ED0B9F">
        <w:rPr>
          <w:rFonts w:asciiTheme="majorBidi" w:hAnsiTheme="majorBidi" w:cstheme="majorBidi"/>
        </w:rPr>
        <w:t>Humbert</w:t>
      </w:r>
      <w:proofErr w:type="spellEnd"/>
      <w:r w:rsidRPr="00ED0B9F">
        <w:rPr>
          <w:rFonts w:asciiTheme="majorBidi" w:hAnsiTheme="majorBidi" w:cstheme="majorBidi"/>
        </w:rPr>
        <w:t xml:space="preserve"> and </w:t>
      </w:r>
      <w:proofErr w:type="spellStart"/>
      <w:r w:rsidRPr="00ED0B9F">
        <w:rPr>
          <w:rFonts w:asciiTheme="majorBidi" w:hAnsiTheme="majorBidi" w:cstheme="majorBidi"/>
        </w:rPr>
        <w:t>Chambon</w:t>
      </w:r>
      <w:proofErr w:type="spellEnd"/>
      <w:r w:rsidRPr="00ED0B9F">
        <w:rPr>
          <w:rFonts w:asciiTheme="majorBidi" w:hAnsiTheme="majorBidi" w:cstheme="majorBidi"/>
        </w:rPr>
        <w:t xml:space="preserve"> 1994, 292). </w:t>
      </w:r>
    </w:p>
  </w:footnote>
  <w:footnote w:id="10">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None of the first-century C.E. coins found on top of the locus 2 floor (or for that matter the two found underneath the floor near the jar) are securely associated with the deposit date of the jar (the coins underneath the floor could have fallen through a crack after the jar was already in the floor). Of the two coins beneath the floor, de Vaux reported in 1953 that one was an Augustus procurators’ coin of “</w:t>
      </w:r>
      <w:proofErr w:type="gramStart"/>
      <w:r w:rsidRPr="00ED0B9F">
        <w:rPr>
          <w:rFonts w:asciiTheme="majorBidi" w:hAnsiTheme="majorBidi" w:cstheme="majorBidi"/>
        </w:rPr>
        <w:t>?5</w:t>
      </w:r>
      <w:proofErr w:type="gramEnd"/>
      <w:r w:rsidRPr="00ED0B9F">
        <w:rPr>
          <w:rFonts w:asciiTheme="majorBidi" w:hAnsiTheme="majorBidi" w:cstheme="majorBidi"/>
        </w:rPr>
        <w:t xml:space="preserve">/6 [C.E.]” (de Vaux 1953a: 93). In 1994, the second coin was identified as an </w:t>
      </w:r>
      <w:proofErr w:type="spellStart"/>
      <w:r w:rsidRPr="00ED0B9F">
        <w:rPr>
          <w:rFonts w:asciiTheme="majorBidi" w:hAnsiTheme="majorBidi" w:cstheme="majorBidi"/>
        </w:rPr>
        <w:t>Antigonus</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Mattathias</w:t>
      </w:r>
      <w:proofErr w:type="spellEnd"/>
      <w:r w:rsidRPr="00ED0B9F">
        <w:rPr>
          <w:rFonts w:asciiTheme="majorBidi" w:hAnsiTheme="majorBidi" w:cstheme="majorBidi"/>
        </w:rPr>
        <w:t xml:space="preserve"> coin, 40-37 B.C.E. (</w:t>
      </w:r>
      <w:proofErr w:type="spellStart"/>
      <w:r w:rsidRPr="00ED0B9F">
        <w:rPr>
          <w:rFonts w:asciiTheme="majorBidi" w:hAnsiTheme="majorBidi" w:cstheme="majorBidi"/>
        </w:rPr>
        <w:t>Humbert</w:t>
      </w:r>
      <w:proofErr w:type="spellEnd"/>
      <w:r w:rsidRPr="00ED0B9F">
        <w:rPr>
          <w:rFonts w:asciiTheme="majorBidi" w:hAnsiTheme="majorBidi" w:cstheme="majorBidi"/>
        </w:rPr>
        <w:t xml:space="preserve"> and </w:t>
      </w:r>
      <w:proofErr w:type="spellStart"/>
      <w:r w:rsidRPr="00ED0B9F">
        <w:rPr>
          <w:rFonts w:asciiTheme="majorBidi" w:hAnsiTheme="majorBidi" w:cstheme="majorBidi"/>
        </w:rPr>
        <w:t>Chambon</w:t>
      </w:r>
      <w:proofErr w:type="spellEnd"/>
      <w:r w:rsidRPr="00ED0B9F">
        <w:rPr>
          <w:rFonts w:asciiTheme="majorBidi" w:hAnsiTheme="majorBidi" w:cstheme="majorBidi"/>
        </w:rPr>
        <w:t xml:space="preserve"> 1994, 292). Elsewhere de Vaux argued that </w:t>
      </w:r>
      <w:proofErr w:type="spellStart"/>
      <w:r w:rsidRPr="00ED0B9F">
        <w:rPr>
          <w:rFonts w:asciiTheme="majorBidi" w:hAnsiTheme="majorBidi" w:cstheme="majorBidi"/>
        </w:rPr>
        <w:t>Antigonus</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Mattathias</w:t>
      </w:r>
      <w:proofErr w:type="spellEnd"/>
      <w:r w:rsidRPr="00ED0B9F">
        <w:rPr>
          <w:rFonts w:asciiTheme="majorBidi" w:hAnsiTheme="majorBidi" w:cstheme="majorBidi"/>
        </w:rPr>
        <w:t xml:space="preserve"> coins attested to activity in Qumran’s Period </w:t>
      </w:r>
      <w:proofErr w:type="spellStart"/>
      <w:r w:rsidRPr="00ED0B9F">
        <w:rPr>
          <w:rFonts w:asciiTheme="majorBidi" w:hAnsiTheme="majorBidi" w:cstheme="majorBidi"/>
        </w:rPr>
        <w:t>Ib</w:t>
      </w:r>
      <w:proofErr w:type="spellEnd"/>
      <w:r w:rsidRPr="00ED0B9F">
        <w:rPr>
          <w:rFonts w:asciiTheme="majorBidi" w:hAnsiTheme="majorBidi" w:cstheme="majorBidi"/>
        </w:rPr>
        <w:t xml:space="preserve"> (de Vaux 1973, 22).</w:t>
      </w:r>
    </w:p>
  </w:footnote>
  <w:footnote w:id="11">
    <w:p w:rsidR="00444F86" w:rsidRPr="00ED0B9F" w:rsidRDefault="00444F86" w:rsidP="00EB29C7">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R. Bar-Nathan, </w:t>
      </w:r>
      <w:proofErr w:type="spellStart"/>
      <w:r w:rsidRPr="00ED0B9F">
        <w:rPr>
          <w:rFonts w:asciiTheme="majorBidi" w:hAnsiTheme="majorBidi" w:cstheme="majorBidi"/>
          <w:i/>
          <w:iCs/>
        </w:rPr>
        <w:t>Hasmonaean</w:t>
      </w:r>
      <w:proofErr w:type="spellEnd"/>
      <w:r w:rsidRPr="00ED0B9F">
        <w:rPr>
          <w:rFonts w:asciiTheme="majorBidi" w:hAnsiTheme="majorBidi" w:cstheme="majorBidi"/>
          <w:i/>
          <w:iCs/>
        </w:rPr>
        <w:t xml:space="preserve"> and </w:t>
      </w:r>
      <w:proofErr w:type="spellStart"/>
      <w:r w:rsidRPr="00ED0B9F">
        <w:rPr>
          <w:rFonts w:asciiTheme="majorBidi" w:hAnsiTheme="majorBidi" w:cstheme="majorBidi"/>
          <w:i/>
          <w:iCs/>
        </w:rPr>
        <w:t>Herodian</w:t>
      </w:r>
      <w:proofErr w:type="spellEnd"/>
      <w:r w:rsidRPr="00ED0B9F">
        <w:rPr>
          <w:rFonts w:asciiTheme="majorBidi" w:hAnsiTheme="majorBidi" w:cstheme="majorBidi"/>
          <w:i/>
          <w:iCs/>
        </w:rPr>
        <w:t xml:space="preserve"> Palaces at Jericho: Final Reports of the 1973-1987 Excavations. Vol. 3: The Pottery </w:t>
      </w:r>
      <w:r w:rsidRPr="00ED0B9F">
        <w:rPr>
          <w:rFonts w:asciiTheme="majorBidi" w:hAnsiTheme="majorBidi" w:cstheme="majorBidi"/>
        </w:rPr>
        <w:t>(Jerusalem: Israel Exploration Society, 2002).</w:t>
      </w:r>
    </w:p>
  </w:footnote>
  <w:footnote w:id="12">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R. de Vaux writes in “</w:t>
      </w:r>
      <w:proofErr w:type="spellStart"/>
      <w:r w:rsidRPr="00ED0B9F">
        <w:rPr>
          <w:rFonts w:asciiTheme="majorBidi" w:hAnsiTheme="majorBidi" w:cstheme="majorBidi"/>
        </w:rPr>
        <w:t>Archéologie</w:t>
      </w:r>
      <w:proofErr w:type="spellEnd"/>
      <w:r w:rsidRPr="00ED0B9F">
        <w:rPr>
          <w:rFonts w:asciiTheme="majorBidi" w:hAnsiTheme="majorBidi" w:cstheme="majorBidi"/>
        </w:rPr>
        <w:t xml:space="preserve">: IV. </w:t>
      </w:r>
      <w:proofErr w:type="gramStart"/>
      <w:r w:rsidRPr="00ED0B9F">
        <w:rPr>
          <w:rFonts w:asciiTheme="majorBidi" w:hAnsiTheme="majorBidi" w:cstheme="majorBidi"/>
        </w:rPr>
        <w:t xml:space="preserve">Conclusions et </w:t>
      </w:r>
      <w:proofErr w:type="spellStart"/>
      <w:r w:rsidRPr="00ED0B9F">
        <w:rPr>
          <w:rFonts w:asciiTheme="majorBidi" w:hAnsiTheme="majorBidi" w:cstheme="majorBidi"/>
        </w:rPr>
        <w:t>Hypothèses</w:t>
      </w:r>
      <w:proofErr w:type="spellEnd"/>
      <w:r w:rsidRPr="00ED0B9F">
        <w:rPr>
          <w:rFonts w:asciiTheme="majorBidi" w:hAnsiTheme="majorBidi" w:cstheme="majorBidi"/>
        </w:rPr>
        <w:t>.”</w:t>
      </w:r>
      <w:proofErr w:type="gramEnd"/>
      <w:r w:rsidRPr="00ED0B9F">
        <w:rPr>
          <w:rFonts w:asciiTheme="majorBidi" w:hAnsiTheme="majorBidi" w:cstheme="majorBidi"/>
        </w:rPr>
        <w:t xml:space="preserve"> In: </w:t>
      </w:r>
      <w:r w:rsidRPr="00ED0B9F">
        <w:rPr>
          <w:rFonts w:asciiTheme="majorBidi" w:hAnsiTheme="majorBidi" w:cstheme="majorBidi"/>
          <w:i/>
          <w:iCs/>
        </w:rPr>
        <w:t xml:space="preserve">Les ‘Petites </w:t>
      </w:r>
      <w:proofErr w:type="spellStart"/>
      <w:r w:rsidRPr="00ED0B9F">
        <w:rPr>
          <w:rFonts w:asciiTheme="majorBidi" w:hAnsiTheme="majorBidi" w:cstheme="majorBidi"/>
          <w:i/>
          <w:iCs/>
        </w:rPr>
        <w:t>Grottes</w:t>
      </w:r>
      <w:proofErr w:type="spellEnd"/>
      <w:r w:rsidRPr="00ED0B9F">
        <w:rPr>
          <w:rFonts w:asciiTheme="majorBidi" w:hAnsiTheme="majorBidi" w:cstheme="majorBidi"/>
          <w:i/>
          <w:iCs/>
        </w:rPr>
        <w:t xml:space="preserve">’ de </w:t>
      </w:r>
      <w:proofErr w:type="spellStart"/>
      <w:r w:rsidRPr="00ED0B9F">
        <w:rPr>
          <w:rFonts w:asciiTheme="majorBidi" w:hAnsiTheme="majorBidi" w:cstheme="majorBidi"/>
          <w:i/>
          <w:iCs/>
        </w:rPr>
        <w:t>Qumrân</w:t>
      </w:r>
      <w:proofErr w:type="spellEnd"/>
      <w:r w:rsidRPr="00ED0B9F">
        <w:rPr>
          <w:rFonts w:asciiTheme="majorBidi" w:hAnsiTheme="majorBidi" w:cstheme="majorBidi"/>
        </w:rPr>
        <w:t xml:space="preserve">. DJD 2 (Edited by M. </w:t>
      </w:r>
      <w:proofErr w:type="spellStart"/>
      <w:r w:rsidRPr="00ED0B9F">
        <w:rPr>
          <w:rFonts w:asciiTheme="majorBidi" w:hAnsiTheme="majorBidi" w:cstheme="majorBidi"/>
        </w:rPr>
        <w:t>Baillet</w:t>
      </w:r>
      <w:proofErr w:type="spellEnd"/>
      <w:r w:rsidRPr="00ED0B9F">
        <w:rPr>
          <w:rFonts w:asciiTheme="majorBidi" w:hAnsiTheme="majorBidi" w:cstheme="majorBidi"/>
        </w:rPr>
        <w:t xml:space="preserve">, J.T. </w:t>
      </w:r>
      <w:proofErr w:type="spellStart"/>
      <w:r w:rsidRPr="00ED0B9F">
        <w:rPr>
          <w:rFonts w:asciiTheme="majorBidi" w:hAnsiTheme="majorBidi" w:cstheme="majorBidi"/>
        </w:rPr>
        <w:t>Milik</w:t>
      </w:r>
      <w:proofErr w:type="spellEnd"/>
      <w:r w:rsidRPr="00ED0B9F">
        <w:rPr>
          <w:rFonts w:asciiTheme="majorBidi" w:hAnsiTheme="majorBidi" w:cstheme="majorBidi"/>
        </w:rPr>
        <w:t xml:space="preserve"> and R. de Vaux; Oxford: Clarendon, 1962), 35: “</w:t>
      </w:r>
      <w:proofErr w:type="spellStart"/>
      <w:r w:rsidRPr="00ED0B9F">
        <w:rPr>
          <w:rFonts w:asciiTheme="majorBidi" w:hAnsiTheme="majorBidi" w:cstheme="majorBidi"/>
        </w:rPr>
        <w:t>Ces</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jarres</w:t>
      </w:r>
      <w:proofErr w:type="spellEnd"/>
      <w:r w:rsidRPr="00ED0B9F">
        <w:rPr>
          <w:rFonts w:asciiTheme="majorBidi" w:hAnsiTheme="majorBidi" w:cstheme="majorBidi"/>
        </w:rPr>
        <w:t xml:space="preserve"> [. . .] </w:t>
      </w:r>
      <w:proofErr w:type="spellStart"/>
      <w:r w:rsidRPr="00ED0B9F">
        <w:rPr>
          <w:rFonts w:asciiTheme="majorBidi" w:hAnsiTheme="majorBidi" w:cstheme="majorBidi"/>
        </w:rPr>
        <w:t>ont</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servi</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normalement</w:t>
      </w:r>
      <w:proofErr w:type="spellEnd"/>
      <w:r w:rsidRPr="00ED0B9F">
        <w:rPr>
          <w:rFonts w:asciiTheme="majorBidi" w:hAnsiTheme="majorBidi" w:cstheme="majorBidi"/>
        </w:rPr>
        <w:t xml:space="preserve">, à </w:t>
      </w:r>
      <w:proofErr w:type="spellStart"/>
      <w:r w:rsidRPr="00ED0B9F">
        <w:rPr>
          <w:rFonts w:asciiTheme="majorBidi" w:hAnsiTheme="majorBidi" w:cstheme="majorBidi"/>
        </w:rPr>
        <w:t>garder</w:t>
      </w:r>
      <w:proofErr w:type="spellEnd"/>
      <w:r w:rsidRPr="00ED0B9F">
        <w:rPr>
          <w:rFonts w:asciiTheme="majorBidi" w:hAnsiTheme="majorBidi" w:cstheme="majorBidi"/>
        </w:rPr>
        <w:t xml:space="preserve"> des provision”.</w:t>
      </w:r>
    </w:p>
  </w:footnote>
  <w:footnote w:id="13">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In de Vaux’s description: “Les </w:t>
      </w:r>
      <w:proofErr w:type="spellStart"/>
      <w:r w:rsidRPr="00ED0B9F">
        <w:rPr>
          <w:rFonts w:asciiTheme="majorBidi" w:hAnsiTheme="majorBidi" w:cstheme="majorBidi"/>
        </w:rPr>
        <w:t>jarres</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cylindriques</w:t>
      </w:r>
      <w:proofErr w:type="spellEnd"/>
      <w:r w:rsidRPr="00ED0B9F">
        <w:rPr>
          <w:rFonts w:asciiTheme="majorBidi" w:hAnsiTheme="majorBidi" w:cstheme="majorBidi"/>
        </w:rPr>
        <w:t xml:space="preserve"> sans </w:t>
      </w:r>
      <w:proofErr w:type="spellStart"/>
      <w:r w:rsidRPr="00ED0B9F">
        <w:rPr>
          <w:rFonts w:asciiTheme="majorBidi" w:hAnsiTheme="majorBidi" w:cstheme="majorBidi"/>
        </w:rPr>
        <w:t>anses</w:t>
      </w:r>
      <w:proofErr w:type="spellEnd"/>
      <w:r w:rsidRPr="00ED0B9F">
        <w:rPr>
          <w:rFonts w:asciiTheme="majorBidi" w:hAnsiTheme="majorBidi" w:cstheme="majorBidi"/>
        </w:rPr>
        <w:t xml:space="preserve">, avec des variants </w:t>
      </w:r>
      <w:proofErr w:type="spellStart"/>
      <w:r w:rsidRPr="00ED0B9F">
        <w:rPr>
          <w:rFonts w:asciiTheme="majorBidi" w:hAnsiTheme="majorBidi" w:cstheme="majorBidi"/>
        </w:rPr>
        <w:t>dans</w:t>
      </w:r>
      <w:proofErr w:type="spellEnd"/>
      <w:r w:rsidRPr="00ED0B9F">
        <w:rPr>
          <w:rFonts w:asciiTheme="majorBidi" w:hAnsiTheme="majorBidi" w:cstheme="majorBidi"/>
        </w:rPr>
        <w:t xml:space="preserve"> la base, le </w:t>
      </w:r>
      <w:proofErr w:type="spellStart"/>
      <w:r w:rsidRPr="00ED0B9F">
        <w:rPr>
          <w:rFonts w:asciiTheme="majorBidi" w:hAnsiTheme="majorBidi" w:cstheme="majorBidi"/>
        </w:rPr>
        <w:t>col</w:t>
      </w:r>
      <w:proofErr w:type="spellEnd"/>
      <w:r w:rsidRPr="00ED0B9F">
        <w:rPr>
          <w:rFonts w:asciiTheme="majorBidi" w:hAnsiTheme="majorBidi" w:cstheme="majorBidi"/>
        </w:rPr>
        <w:t xml:space="preserve"> </w:t>
      </w:r>
      <w:proofErr w:type="gramStart"/>
      <w:r w:rsidRPr="00ED0B9F">
        <w:rPr>
          <w:rFonts w:asciiTheme="majorBidi" w:hAnsiTheme="majorBidi" w:cstheme="majorBidi"/>
        </w:rPr>
        <w:t>et</w:t>
      </w:r>
      <w:proofErr w:type="gramEnd"/>
      <w:r w:rsidRPr="00ED0B9F">
        <w:rPr>
          <w:rFonts w:asciiTheme="majorBidi" w:hAnsiTheme="majorBidi" w:cstheme="majorBidi"/>
        </w:rPr>
        <w:t xml:space="preserve"> </w:t>
      </w:r>
      <w:proofErr w:type="spellStart"/>
      <w:r w:rsidRPr="00ED0B9F">
        <w:rPr>
          <w:rFonts w:asciiTheme="majorBidi" w:hAnsiTheme="majorBidi" w:cstheme="majorBidi"/>
        </w:rPr>
        <w:t>l’épaule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étaient</w:t>
      </w:r>
      <w:proofErr w:type="spellEnd"/>
      <w:r w:rsidRPr="00ED0B9F">
        <w:rPr>
          <w:rFonts w:asciiTheme="majorBidi" w:hAnsiTheme="majorBidi" w:cstheme="majorBidi"/>
        </w:rPr>
        <w:t xml:space="preserve"> le type à </w:t>
      </w:r>
      <w:proofErr w:type="spellStart"/>
      <w:r w:rsidRPr="00ED0B9F">
        <w:rPr>
          <w:rFonts w:asciiTheme="majorBidi" w:hAnsiTheme="majorBidi" w:cstheme="majorBidi"/>
        </w:rPr>
        <w:t>peu</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près</w:t>
      </w:r>
      <w:proofErr w:type="spellEnd"/>
      <w:r w:rsidRPr="00ED0B9F">
        <w:rPr>
          <w:rFonts w:asciiTheme="majorBidi" w:hAnsiTheme="majorBidi" w:cstheme="majorBidi"/>
        </w:rPr>
        <w:t xml:space="preserve"> constant </w:t>
      </w:r>
      <w:proofErr w:type="spellStart"/>
      <w:r w:rsidRPr="00ED0B9F">
        <w:rPr>
          <w:rFonts w:asciiTheme="majorBidi" w:hAnsiTheme="majorBidi" w:cstheme="majorBidi"/>
        </w:rPr>
        <w:t>dans</w:t>
      </w:r>
      <w:proofErr w:type="spellEnd"/>
      <w:r w:rsidRPr="00ED0B9F">
        <w:rPr>
          <w:rFonts w:asciiTheme="majorBidi" w:hAnsiTheme="majorBidi" w:cstheme="majorBidi"/>
        </w:rPr>
        <w:t xml:space="preserve"> la première </w:t>
      </w:r>
      <w:proofErr w:type="spellStart"/>
      <w:r w:rsidRPr="00ED0B9F">
        <w:rPr>
          <w:rFonts w:asciiTheme="majorBidi" w:hAnsiTheme="majorBidi" w:cstheme="majorBidi"/>
        </w:rPr>
        <w:t>grotte</w:t>
      </w:r>
      <w:proofErr w:type="spellEnd"/>
      <w:r w:rsidRPr="00ED0B9F">
        <w:rPr>
          <w:rFonts w:asciiTheme="majorBidi" w:hAnsiTheme="majorBidi" w:cstheme="majorBidi"/>
        </w:rPr>
        <w:t xml:space="preserve"> qui </w:t>
      </w:r>
      <w:proofErr w:type="spellStart"/>
      <w:r w:rsidRPr="00ED0B9F">
        <w:rPr>
          <w:rFonts w:asciiTheme="majorBidi" w:hAnsiTheme="majorBidi" w:cstheme="majorBidi"/>
        </w:rPr>
        <w:t>s’est</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retrouvé</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dans</w:t>
      </w:r>
      <w:proofErr w:type="spellEnd"/>
      <w:r w:rsidRPr="00ED0B9F">
        <w:rPr>
          <w:rFonts w:asciiTheme="majorBidi" w:hAnsiTheme="majorBidi" w:cstheme="majorBidi"/>
        </w:rPr>
        <w:t xml:space="preserve"> la </w:t>
      </w:r>
      <w:proofErr w:type="spellStart"/>
      <w:r w:rsidRPr="00ED0B9F">
        <w:rPr>
          <w:rFonts w:asciiTheme="majorBidi" w:hAnsiTheme="majorBidi" w:cstheme="majorBidi"/>
        </w:rPr>
        <w:t>fouille</w:t>
      </w:r>
      <w:proofErr w:type="spellEnd"/>
      <w:r w:rsidRPr="00ED0B9F">
        <w:rPr>
          <w:rFonts w:asciiTheme="majorBidi" w:hAnsiTheme="majorBidi" w:cstheme="majorBidi"/>
        </w:rPr>
        <w:t xml:space="preserve"> du Khirbet. Le type </w:t>
      </w:r>
      <w:proofErr w:type="spellStart"/>
      <w:proofErr w:type="gramStart"/>
      <w:r w:rsidRPr="00ED0B9F">
        <w:rPr>
          <w:rFonts w:asciiTheme="majorBidi" w:hAnsiTheme="majorBidi" w:cstheme="majorBidi"/>
        </w:rPr>
        <w:t>est</w:t>
      </w:r>
      <w:proofErr w:type="spellEnd"/>
      <w:proofErr w:type="gramEnd"/>
      <w:r w:rsidRPr="00ED0B9F">
        <w:rPr>
          <w:rFonts w:asciiTheme="majorBidi" w:hAnsiTheme="majorBidi" w:cstheme="majorBidi"/>
        </w:rPr>
        <w:t xml:space="preserve"> </w:t>
      </w:r>
      <w:proofErr w:type="spellStart"/>
      <w:r w:rsidRPr="00ED0B9F">
        <w:rPr>
          <w:rFonts w:asciiTheme="majorBidi" w:hAnsiTheme="majorBidi" w:cstheme="majorBidi"/>
        </w:rPr>
        <w:t>abondamment</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représenté</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dans</w:t>
      </w:r>
      <w:proofErr w:type="spellEnd"/>
      <w:r w:rsidRPr="00ED0B9F">
        <w:rPr>
          <w:rFonts w:asciiTheme="majorBidi" w:hAnsiTheme="majorBidi" w:cstheme="majorBidi"/>
        </w:rPr>
        <w:t xml:space="preserve"> les </w:t>
      </w:r>
      <w:proofErr w:type="spellStart"/>
      <w:r w:rsidRPr="00ED0B9F">
        <w:rPr>
          <w:rFonts w:asciiTheme="majorBidi" w:hAnsiTheme="majorBidi" w:cstheme="majorBidi"/>
        </w:rPr>
        <w:t>autres</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grottes</w:t>
      </w:r>
      <w:proofErr w:type="spellEnd"/>
      <w:r w:rsidRPr="00ED0B9F">
        <w:rPr>
          <w:rFonts w:asciiTheme="majorBidi" w:hAnsiTheme="majorBidi" w:cstheme="majorBidi"/>
        </w:rPr>
        <w:t xml:space="preserve">. [. . .] </w:t>
      </w:r>
      <w:proofErr w:type="spellStart"/>
      <w:r w:rsidRPr="00ED0B9F">
        <w:rPr>
          <w:rFonts w:asciiTheme="majorBidi" w:hAnsiTheme="majorBidi" w:cstheme="majorBidi"/>
        </w:rPr>
        <w:t>Une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forme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apparentée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est</w:t>
      </w:r>
      <w:proofErr w:type="spellEnd"/>
      <w:r w:rsidRPr="00ED0B9F">
        <w:rPr>
          <w:rFonts w:asciiTheme="majorBidi" w:hAnsiTheme="majorBidi" w:cstheme="majorBidi"/>
        </w:rPr>
        <w:t xml:space="preserve"> la jarred de </w:t>
      </w:r>
      <w:proofErr w:type="spellStart"/>
      <w:r w:rsidRPr="00ED0B9F">
        <w:rPr>
          <w:rFonts w:asciiTheme="majorBidi" w:hAnsiTheme="majorBidi" w:cstheme="majorBidi"/>
        </w:rPr>
        <w:t>forme</w:t>
      </w:r>
      <w:proofErr w:type="spellEnd"/>
      <w:r w:rsidRPr="00ED0B9F">
        <w:rPr>
          <w:rFonts w:asciiTheme="majorBidi" w:hAnsiTheme="majorBidi" w:cstheme="majorBidi"/>
        </w:rPr>
        <w:t xml:space="preserve"> plus </w:t>
      </w:r>
      <w:proofErr w:type="spellStart"/>
      <w:r w:rsidRPr="00ED0B9F">
        <w:rPr>
          <w:rFonts w:asciiTheme="majorBidi" w:hAnsiTheme="majorBidi" w:cstheme="majorBidi"/>
        </w:rPr>
        <w:t>arrondie</w:t>
      </w:r>
      <w:proofErr w:type="spellEnd"/>
      <w:r w:rsidRPr="00ED0B9F">
        <w:rPr>
          <w:rFonts w:asciiTheme="majorBidi" w:hAnsiTheme="majorBidi" w:cstheme="majorBidi"/>
        </w:rPr>
        <w:t xml:space="preserve"> [. . .] qui </w:t>
      </w:r>
      <w:proofErr w:type="gramStart"/>
      <w:r w:rsidRPr="00ED0B9F">
        <w:rPr>
          <w:rFonts w:asciiTheme="majorBidi" w:hAnsiTheme="majorBidi" w:cstheme="majorBidi"/>
        </w:rPr>
        <w:t>a</w:t>
      </w:r>
      <w:proofErr w:type="gramEnd"/>
      <w:r w:rsidRPr="00ED0B9F">
        <w:rPr>
          <w:rFonts w:asciiTheme="majorBidi" w:hAnsiTheme="majorBidi" w:cstheme="majorBidi"/>
        </w:rPr>
        <w:t xml:space="preserve"> </w:t>
      </w:r>
      <w:proofErr w:type="spellStart"/>
      <w:r w:rsidRPr="00ED0B9F">
        <w:rPr>
          <w:rFonts w:asciiTheme="majorBidi" w:hAnsiTheme="majorBidi" w:cstheme="majorBidi"/>
        </w:rPr>
        <w:t>aussi</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ses</w:t>
      </w:r>
      <w:proofErr w:type="spellEnd"/>
      <w:r w:rsidRPr="00ED0B9F">
        <w:rPr>
          <w:rFonts w:asciiTheme="majorBidi" w:hAnsiTheme="majorBidi" w:cstheme="majorBidi"/>
        </w:rPr>
        <w:t xml:space="preserve"> analogues au Khirbet” (“Exploration de la region de </w:t>
      </w:r>
      <w:proofErr w:type="spellStart"/>
      <w:r w:rsidRPr="00ED0B9F">
        <w:rPr>
          <w:rFonts w:asciiTheme="majorBidi" w:hAnsiTheme="majorBidi" w:cstheme="majorBidi"/>
        </w:rPr>
        <w:t>Qumrân</w:t>
      </w:r>
      <w:proofErr w:type="spellEnd"/>
      <w:r w:rsidRPr="00ED0B9F">
        <w:rPr>
          <w:rFonts w:asciiTheme="majorBidi" w:hAnsiTheme="majorBidi" w:cstheme="majorBidi"/>
        </w:rPr>
        <w:t xml:space="preserve">.” </w:t>
      </w:r>
      <w:r w:rsidRPr="00ED0B9F">
        <w:rPr>
          <w:rFonts w:asciiTheme="majorBidi" w:hAnsiTheme="majorBidi" w:cstheme="majorBidi"/>
          <w:i/>
          <w:iCs/>
        </w:rPr>
        <w:t xml:space="preserve">RB </w:t>
      </w:r>
      <w:r w:rsidRPr="00ED0B9F">
        <w:rPr>
          <w:rFonts w:asciiTheme="majorBidi" w:hAnsiTheme="majorBidi" w:cstheme="majorBidi"/>
        </w:rPr>
        <w:t>60 [1953]: 543-52).</w:t>
      </w:r>
    </w:p>
  </w:footnote>
  <w:footnote w:id="14">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This shorter, rounded-shoulder Qumran scroll jar would be like Bar-Nathan’s type 2A at Jericho if it were ovoid, but it differs from 2A in this respect.</w:t>
      </w:r>
    </w:p>
  </w:footnote>
  <w:footnote w:id="15">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For example, 2A is an ovoid jar (not a straight cylindrical scroll jar) common at Jericho. According to Bar-Nathan, the 2A jars are attested at Jericho solely in the first century B.C.E. (not C.E.; id. 2002, 27 and 150). These 2A jars were found at Qumran in Cave 4 (</w:t>
      </w:r>
      <w:r w:rsidRPr="00ED0B9F">
        <w:rPr>
          <w:rFonts w:asciiTheme="majorBidi" w:hAnsiTheme="majorBidi" w:cstheme="majorBidi"/>
          <w:i/>
          <w:iCs/>
        </w:rPr>
        <w:t xml:space="preserve">Qumran </w:t>
      </w:r>
      <w:proofErr w:type="spellStart"/>
      <w:r w:rsidRPr="00ED0B9F">
        <w:rPr>
          <w:rFonts w:asciiTheme="majorBidi" w:hAnsiTheme="majorBidi" w:cstheme="majorBidi"/>
          <w:i/>
          <w:iCs/>
        </w:rPr>
        <w:t>Grotte</w:t>
      </w:r>
      <w:proofErr w:type="spellEnd"/>
      <w:r w:rsidRPr="00ED0B9F">
        <w:rPr>
          <w:rFonts w:asciiTheme="majorBidi" w:hAnsiTheme="majorBidi" w:cstheme="majorBidi"/>
          <w:i/>
          <w:iCs/>
        </w:rPr>
        <w:t xml:space="preserve"> 4/II. </w:t>
      </w:r>
      <w:r w:rsidRPr="00ED0B9F">
        <w:rPr>
          <w:rFonts w:asciiTheme="majorBidi" w:hAnsiTheme="majorBidi" w:cstheme="majorBidi"/>
        </w:rPr>
        <w:t xml:space="preserve">DJD 6 [Edited by J.T. </w:t>
      </w:r>
      <w:proofErr w:type="spellStart"/>
      <w:r w:rsidRPr="00ED0B9F">
        <w:rPr>
          <w:rFonts w:asciiTheme="majorBidi" w:hAnsiTheme="majorBidi" w:cstheme="majorBidi"/>
        </w:rPr>
        <w:t>Milik</w:t>
      </w:r>
      <w:proofErr w:type="spellEnd"/>
      <w:r w:rsidRPr="00ED0B9F">
        <w:rPr>
          <w:rFonts w:asciiTheme="majorBidi" w:hAnsiTheme="majorBidi" w:cstheme="majorBidi"/>
        </w:rPr>
        <w:t xml:space="preserve"> and R. de Vaux; Oxford: Clarendon], fig. 5:1-2) and Cave 7 (DJD 3, fig. 6.5) from Period </w:t>
      </w:r>
      <w:proofErr w:type="spellStart"/>
      <w:r w:rsidRPr="00ED0B9F">
        <w:rPr>
          <w:rFonts w:asciiTheme="majorBidi" w:hAnsiTheme="majorBidi" w:cstheme="majorBidi"/>
        </w:rPr>
        <w:t>Ib</w:t>
      </w:r>
      <w:proofErr w:type="spellEnd"/>
      <w:r w:rsidRPr="00ED0B9F">
        <w:rPr>
          <w:rFonts w:asciiTheme="majorBidi" w:hAnsiTheme="majorBidi" w:cstheme="majorBidi"/>
        </w:rPr>
        <w:t xml:space="preserve"> according to R. de Vaux (“</w:t>
      </w:r>
      <w:proofErr w:type="spellStart"/>
      <w:r w:rsidRPr="00ED0B9F">
        <w:rPr>
          <w:rFonts w:asciiTheme="majorBidi" w:hAnsiTheme="majorBidi" w:cstheme="majorBidi"/>
        </w:rPr>
        <w:t>Fouilles</w:t>
      </w:r>
      <w:proofErr w:type="spellEnd"/>
      <w:r w:rsidRPr="00ED0B9F">
        <w:rPr>
          <w:rFonts w:asciiTheme="majorBidi" w:hAnsiTheme="majorBidi" w:cstheme="majorBidi"/>
        </w:rPr>
        <w:t xml:space="preserve"> au Khirbet </w:t>
      </w:r>
      <w:proofErr w:type="spellStart"/>
      <w:r w:rsidRPr="00ED0B9F">
        <w:rPr>
          <w:rFonts w:asciiTheme="majorBidi" w:hAnsiTheme="majorBidi" w:cstheme="majorBidi"/>
        </w:rPr>
        <w:t>Qumrân</w:t>
      </w:r>
      <w:proofErr w:type="spellEnd"/>
      <w:r w:rsidRPr="00ED0B9F">
        <w:rPr>
          <w:rFonts w:asciiTheme="majorBidi" w:hAnsiTheme="majorBidi" w:cstheme="majorBidi"/>
        </w:rPr>
        <w:t xml:space="preserve">. </w:t>
      </w:r>
      <w:proofErr w:type="gramStart"/>
      <w:r w:rsidRPr="00ED0B9F">
        <w:rPr>
          <w:rFonts w:asciiTheme="majorBidi" w:hAnsiTheme="majorBidi" w:cstheme="majorBidi"/>
        </w:rPr>
        <w:t xml:space="preserve">Rapport </w:t>
      </w:r>
      <w:proofErr w:type="spellStart"/>
      <w:r w:rsidRPr="00ED0B9F">
        <w:rPr>
          <w:rFonts w:asciiTheme="majorBidi" w:hAnsiTheme="majorBidi" w:cstheme="majorBidi"/>
        </w:rPr>
        <w:t>préliminaire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sur</w:t>
      </w:r>
      <w:proofErr w:type="spellEnd"/>
      <w:r w:rsidRPr="00ED0B9F">
        <w:rPr>
          <w:rFonts w:asciiTheme="majorBidi" w:hAnsiTheme="majorBidi" w:cstheme="majorBidi"/>
        </w:rPr>
        <w:t xml:space="preserve"> les 3e, 4e, et 5e </w:t>
      </w:r>
      <w:proofErr w:type="spellStart"/>
      <w:r w:rsidRPr="00ED0B9F">
        <w:rPr>
          <w:rFonts w:asciiTheme="majorBidi" w:hAnsiTheme="majorBidi" w:cstheme="majorBidi"/>
        </w:rPr>
        <w:t>campagnes</w:t>
      </w:r>
      <w:proofErr w:type="spellEnd"/>
      <w:r w:rsidRPr="00ED0B9F">
        <w:rPr>
          <w:rFonts w:asciiTheme="majorBidi" w:hAnsiTheme="majorBidi" w:cstheme="majorBidi"/>
        </w:rPr>
        <w:t>.”</w:t>
      </w:r>
      <w:proofErr w:type="gramEnd"/>
      <w:r w:rsidRPr="00ED0B9F">
        <w:rPr>
          <w:rFonts w:asciiTheme="majorBidi" w:hAnsiTheme="majorBidi" w:cstheme="majorBidi"/>
        </w:rPr>
        <w:t xml:space="preserve"> </w:t>
      </w:r>
      <w:r w:rsidRPr="00ED0B9F">
        <w:rPr>
          <w:rFonts w:asciiTheme="majorBidi" w:hAnsiTheme="majorBidi" w:cstheme="majorBidi"/>
          <w:i/>
          <w:iCs/>
        </w:rPr>
        <w:t xml:space="preserve">RB </w:t>
      </w:r>
      <w:r w:rsidRPr="00ED0B9F">
        <w:rPr>
          <w:rFonts w:asciiTheme="majorBidi" w:hAnsiTheme="majorBidi" w:cstheme="majorBidi"/>
        </w:rPr>
        <w:t>63 [1956]: 372). Jericho’s 2C is a small cylindrical jar with a bulge and is too small to hold scrolls, with heights of only 23-28 cm (Bar-Nathan 2002, 23). Jericho’s 2D, a small ovoid jar, is also too small to hold scrolls. “J-SJ2D jars [. . .] were both too small to hold manuscripts and were not associated with a lid” (Bar-Nathan 2002, 27).</w:t>
      </w:r>
    </w:p>
  </w:footnote>
  <w:footnote w:id="16">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r>
      <w:proofErr w:type="gramStart"/>
      <w:r w:rsidRPr="00ED0B9F">
        <w:rPr>
          <w:rFonts w:asciiTheme="majorBidi" w:hAnsiTheme="majorBidi" w:cstheme="majorBidi"/>
        </w:rPr>
        <w:t>Bar-Nathan 2002, 22.</w:t>
      </w:r>
      <w:proofErr w:type="gramEnd"/>
    </w:p>
  </w:footnote>
  <w:footnote w:id="17">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R. Bar-Nathan and R. </w:t>
      </w:r>
      <w:proofErr w:type="spellStart"/>
      <w:r w:rsidRPr="00ED0B9F">
        <w:rPr>
          <w:rFonts w:asciiTheme="majorBidi" w:hAnsiTheme="majorBidi" w:cstheme="majorBidi"/>
        </w:rPr>
        <w:t>Gitler-Kamil</w:t>
      </w:r>
      <w:proofErr w:type="spellEnd"/>
      <w:r w:rsidRPr="00ED0B9F">
        <w:rPr>
          <w:rFonts w:asciiTheme="majorBidi" w:hAnsiTheme="majorBidi" w:cstheme="majorBidi"/>
        </w:rPr>
        <w:t xml:space="preserve">, “Typology of the </w:t>
      </w:r>
      <w:proofErr w:type="spellStart"/>
      <w:r w:rsidRPr="00ED0B9F">
        <w:rPr>
          <w:rFonts w:asciiTheme="majorBidi" w:hAnsiTheme="majorBidi" w:cstheme="majorBidi"/>
        </w:rPr>
        <w:t>Herodian</w:t>
      </w:r>
      <w:proofErr w:type="spellEnd"/>
      <w:r w:rsidRPr="00ED0B9F">
        <w:rPr>
          <w:rFonts w:asciiTheme="majorBidi" w:hAnsiTheme="majorBidi" w:cstheme="majorBidi"/>
        </w:rPr>
        <w:t xml:space="preserve"> 3 Pottery.” In: Bar-Nathan 2002, 150.</w:t>
      </w:r>
    </w:p>
  </w:footnote>
  <w:footnote w:id="18">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r>
      <w:proofErr w:type="gramStart"/>
      <w:r w:rsidRPr="00ED0B9F">
        <w:rPr>
          <w:rFonts w:asciiTheme="majorBidi" w:hAnsiTheme="majorBidi" w:cstheme="majorBidi"/>
        </w:rPr>
        <w:t>Bar-Nathan 2002, 24-27, and pl. 2, no. 8.</w:t>
      </w:r>
      <w:proofErr w:type="gramEnd"/>
      <w:r w:rsidRPr="00ED0B9F">
        <w:rPr>
          <w:rFonts w:asciiTheme="majorBidi" w:hAnsiTheme="majorBidi" w:cstheme="majorBidi"/>
        </w:rPr>
        <w:t xml:space="preserve"> “J-SJ2B [= Qumran scroll jar 2B] was uncommon at Jericho [. . .] the finds at Jericho suggest that the cylindrical storage jar with ledge handles [2B, the Qumran scroll jar type] is later [than 31 B.C.E.] and belongs to the end of the first century B.C.E. The earlier type is the ovoid storage jar [2A] which was common in the first century B.C.E.” </w:t>
      </w:r>
      <w:proofErr w:type="gramStart"/>
      <w:r w:rsidRPr="00ED0B9F">
        <w:rPr>
          <w:rFonts w:asciiTheme="majorBidi" w:hAnsiTheme="majorBidi" w:cstheme="majorBidi"/>
        </w:rPr>
        <w:t>(Bar-Nathan 2002, 27).</w:t>
      </w:r>
      <w:proofErr w:type="gramEnd"/>
      <w:r w:rsidRPr="00ED0B9F">
        <w:rPr>
          <w:rFonts w:asciiTheme="majorBidi" w:hAnsiTheme="majorBidi" w:cstheme="majorBidi"/>
        </w:rPr>
        <w:t xml:space="preserve"> The 2B jar’s find spot at Jericho, Pool 176, is dated 31-15 B.C.E. by the excavators (Bar-Nathan 2002, 239).</w:t>
      </w:r>
    </w:p>
  </w:footnote>
  <w:footnote w:id="19">
    <w:p w:rsidR="00444F86" w:rsidRPr="00ED0B9F" w:rsidRDefault="00444F86" w:rsidP="005A2475">
      <w:pPr>
        <w:pStyle w:val="FootnoteText"/>
        <w:rPr>
          <w:rFonts w:asciiTheme="majorBidi" w:hAnsiTheme="majorBidi" w:cstheme="majorBidi"/>
          <w:i/>
          <w:iCs/>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Both Bar-Nathan and </w:t>
      </w:r>
      <w:proofErr w:type="spellStart"/>
      <w:r w:rsidRPr="00ED0B9F">
        <w:rPr>
          <w:rFonts w:asciiTheme="majorBidi" w:hAnsiTheme="majorBidi" w:cstheme="majorBidi"/>
        </w:rPr>
        <w:t>Magness</w:t>
      </w:r>
      <w:proofErr w:type="spellEnd"/>
      <w:r w:rsidRPr="00ED0B9F">
        <w:rPr>
          <w:rFonts w:asciiTheme="majorBidi" w:hAnsiTheme="majorBidi" w:cstheme="majorBidi"/>
        </w:rPr>
        <w:t xml:space="preserve"> argue for dating the end of Qumran Period </w:t>
      </w:r>
      <w:proofErr w:type="spellStart"/>
      <w:r w:rsidRPr="00ED0B9F">
        <w:rPr>
          <w:rFonts w:asciiTheme="majorBidi" w:hAnsiTheme="majorBidi" w:cstheme="majorBidi"/>
        </w:rPr>
        <w:t>Ib</w:t>
      </w:r>
      <w:proofErr w:type="spellEnd"/>
      <w:r w:rsidRPr="00ED0B9F">
        <w:rPr>
          <w:rFonts w:asciiTheme="majorBidi" w:hAnsiTheme="majorBidi" w:cstheme="majorBidi"/>
        </w:rPr>
        <w:t xml:space="preserve"> later than the traditional dating of ca. 40-37 B.C.E. or (per the later de Vaux) 31 B.C.E., though not for the same reasons. </w:t>
      </w:r>
      <w:proofErr w:type="spellStart"/>
      <w:r w:rsidRPr="00ED0B9F">
        <w:rPr>
          <w:rFonts w:asciiTheme="majorBidi" w:hAnsiTheme="majorBidi" w:cstheme="majorBidi"/>
        </w:rPr>
        <w:t>Magness</w:t>
      </w:r>
      <w:proofErr w:type="spellEnd"/>
      <w:r w:rsidRPr="00ED0B9F">
        <w:rPr>
          <w:rFonts w:asciiTheme="majorBidi" w:hAnsiTheme="majorBidi" w:cstheme="majorBidi"/>
        </w:rPr>
        <w:t xml:space="preserve"> argues for a date of ca. 9/8 B.C.E. or soon thereafter based on an argument that a coin hoard in locus 120 was buried at the end of Period </w:t>
      </w:r>
      <w:proofErr w:type="spellStart"/>
      <w:r w:rsidRPr="00ED0B9F">
        <w:rPr>
          <w:rFonts w:asciiTheme="majorBidi" w:hAnsiTheme="majorBidi" w:cstheme="majorBidi"/>
        </w:rPr>
        <w:t>Ib</w:t>
      </w:r>
      <w:proofErr w:type="spellEnd"/>
      <w:r w:rsidRPr="00ED0B9F">
        <w:rPr>
          <w:rFonts w:asciiTheme="majorBidi" w:hAnsiTheme="majorBidi" w:cstheme="majorBidi"/>
        </w:rPr>
        <w:t xml:space="preserve">; see J. </w:t>
      </w:r>
      <w:proofErr w:type="spellStart"/>
      <w:r w:rsidRPr="00ED0B9F">
        <w:rPr>
          <w:rFonts w:asciiTheme="majorBidi" w:hAnsiTheme="majorBidi" w:cstheme="majorBidi"/>
        </w:rPr>
        <w:t>Magness</w:t>
      </w:r>
      <w:proofErr w:type="spellEnd"/>
      <w:r w:rsidRPr="00ED0B9F">
        <w:rPr>
          <w:rFonts w:asciiTheme="majorBidi" w:hAnsiTheme="majorBidi" w:cstheme="majorBidi"/>
        </w:rPr>
        <w:t xml:space="preserve">, </w:t>
      </w:r>
      <w:r w:rsidRPr="00ED0B9F">
        <w:rPr>
          <w:rFonts w:asciiTheme="majorBidi" w:hAnsiTheme="majorBidi" w:cstheme="majorBidi"/>
          <w:i/>
          <w:iCs/>
        </w:rPr>
        <w:t xml:space="preserve">The Archaeology of Qumran and the Dead Sea Scrolls </w:t>
      </w:r>
      <w:r w:rsidRPr="00ED0B9F">
        <w:rPr>
          <w:rFonts w:asciiTheme="majorBidi" w:hAnsiTheme="majorBidi" w:cstheme="majorBidi"/>
        </w:rPr>
        <w:t xml:space="preserve">(Grand Rapids: </w:t>
      </w:r>
      <w:proofErr w:type="spellStart"/>
      <w:r w:rsidRPr="00ED0B9F">
        <w:rPr>
          <w:rFonts w:asciiTheme="majorBidi" w:hAnsiTheme="majorBidi" w:cstheme="majorBidi"/>
        </w:rPr>
        <w:t>Eerdmans</w:t>
      </w:r>
      <w:proofErr w:type="spellEnd"/>
      <w:r w:rsidRPr="00ED0B9F">
        <w:rPr>
          <w:rFonts w:asciiTheme="majorBidi" w:hAnsiTheme="majorBidi" w:cstheme="majorBidi"/>
        </w:rPr>
        <w:t xml:space="preserve">, 2002), 66-8. Bar-Nathan argues for an end of Qumran’s Period </w:t>
      </w:r>
      <w:proofErr w:type="spellStart"/>
      <w:r w:rsidRPr="00ED0B9F">
        <w:rPr>
          <w:rFonts w:asciiTheme="majorBidi" w:hAnsiTheme="majorBidi" w:cstheme="majorBidi"/>
        </w:rPr>
        <w:t>Ib</w:t>
      </w:r>
      <w:proofErr w:type="spellEnd"/>
      <w:r w:rsidRPr="00ED0B9F">
        <w:rPr>
          <w:rFonts w:asciiTheme="majorBidi" w:hAnsiTheme="majorBidi" w:cstheme="majorBidi"/>
        </w:rPr>
        <w:t xml:space="preserve"> during the reign of Herod the Great based on comparisons between Jericho finds and pottery of Qumran locus 89; id. 2002, 100 and 203-4: “the final dating of Period </w:t>
      </w:r>
      <w:proofErr w:type="spellStart"/>
      <w:r w:rsidRPr="00ED0B9F">
        <w:rPr>
          <w:rFonts w:asciiTheme="majorBidi" w:hAnsiTheme="majorBidi" w:cstheme="majorBidi"/>
        </w:rPr>
        <w:t>Ib</w:t>
      </w:r>
      <w:proofErr w:type="spellEnd"/>
      <w:r w:rsidRPr="00ED0B9F">
        <w:rPr>
          <w:rFonts w:asciiTheme="majorBidi" w:hAnsiTheme="majorBidi" w:cstheme="majorBidi"/>
        </w:rPr>
        <w:t xml:space="preserve"> at Qumran, which seems to be HR 1 [</w:t>
      </w:r>
      <w:r w:rsidRPr="00ED0B9F">
        <w:rPr>
          <w:rFonts w:asciiTheme="majorBidi" w:hAnsiTheme="majorBidi" w:cstheme="majorBidi"/>
          <w:i/>
          <w:iCs/>
        </w:rPr>
        <w:t xml:space="preserve">c. </w:t>
      </w:r>
      <w:r w:rsidRPr="00ED0B9F">
        <w:rPr>
          <w:rFonts w:asciiTheme="majorBidi" w:hAnsiTheme="majorBidi" w:cstheme="majorBidi"/>
        </w:rPr>
        <w:t xml:space="preserve">31-15 B.C.E.]”. </w:t>
      </w:r>
    </w:p>
  </w:footnote>
  <w:footnote w:id="20">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Bar-Nathan: “Although a larger variety of J-SJ2 was recovered from </w:t>
      </w:r>
      <w:proofErr w:type="spellStart"/>
      <w:r w:rsidRPr="00ED0B9F">
        <w:rPr>
          <w:rFonts w:asciiTheme="majorBidi" w:hAnsiTheme="majorBidi" w:cstheme="majorBidi"/>
        </w:rPr>
        <w:t>Herodian</w:t>
      </w:r>
      <w:proofErr w:type="spellEnd"/>
      <w:r w:rsidRPr="00ED0B9F">
        <w:rPr>
          <w:rFonts w:asciiTheme="majorBidi" w:hAnsiTheme="majorBidi" w:cstheme="majorBidi"/>
        </w:rPr>
        <w:t xml:space="preserve"> [31 B.C.E.-6 C.E.] contexts [at Jericho], it is not unlikely that its entire repertoire could have occurred in </w:t>
      </w:r>
      <w:proofErr w:type="spellStart"/>
      <w:r w:rsidRPr="00ED0B9F">
        <w:rPr>
          <w:rFonts w:asciiTheme="majorBidi" w:hAnsiTheme="majorBidi" w:cstheme="majorBidi"/>
        </w:rPr>
        <w:t>Hasmonaean</w:t>
      </w:r>
      <w:proofErr w:type="spellEnd"/>
      <w:r w:rsidRPr="00ED0B9F">
        <w:rPr>
          <w:rFonts w:asciiTheme="majorBidi" w:hAnsiTheme="majorBidi" w:cstheme="majorBidi"/>
        </w:rPr>
        <w:t xml:space="preserve"> contexts, albeit not at Jericho” (Bar-Nathan 2002, 26).</w:t>
      </w:r>
    </w:p>
  </w:footnote>
  <w:footnote w:id="21">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r>
      <w:proofErr w:type="gramStart"/>
      <w:r w:rsidRPr="00ED0B9F">
        <w:rPr>
          <w:rFonts w:asciiTheme="majorBidi" w:hAnsiTheme="majorBidi" w:cstheme="majorBidi"/>
        </w:rPr>
        <w:t>Bar-Nathan 2002, 100.</w:t>
      </w:r>
      <w:proofErr w:type="gramEnd"/>
    </w:p>
  </w:footnote>
  <w:footnote w:id="22">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r>
      <w:proofErr w:type="spellStart"/>
      <w:r w:rsidRPr="00ED0B9F">
        <w:rPr>
          <w:rFonts w:asciiTheme="majorBidi" w:hAnsiTheme="majorBidi" w:cstheme="majorBidi"/>
        </w:rPr>
        <w:t>Magness</w:t>
      </w:r>
      <w:proofErr w:type="spellEnd"/>
      <w:r w:rsidRPr="00ED0B9F">
        <w:rPr>
          <w:rFonts w:asciiTheme="majorBidi" w:hAnsiTheme="majorBidi" w:cstheme="majorBidi"/>
        </w:rPr>
        <w:t xml:space="preserve"> cites a claim that Qumran scroll jars were found at Masada in First Revolt contexts from Bar-Nathan’s unpublished M.A. thesis of 1988 (</w:t>
      </w:r>
      <w:proofErr w:type="spellStart"/>
      <w:r w:rsidRPr="00ED0B9F">
        <w:rPr>
          <w:rFonts w:asciiTheme="majorBidi" w:hAnsiTheme="majorBidi" w:cstheme="majorBidi"/>
        </w:rPr>
        <w:t>Magness</w:t>
      </w:r>
      <w:proofErr w:type="spellEnd"/>
      <w:r w:rsidRPr="00ED0B9F">
        <w:rPr>
          <w:rFonts w:asciiTheme="majorBidi" w:hAnsiTheme="majorBidi" w:cstheme="majorBidi"/>
        </w:rPr>
        <w:t xml:space="preserve"> 2002, 81). However, this claim does not appear in Bar-Nathan’s 2002 publication, where she lists 2C/D jars (not scroll jars) as found in first century C.E. contexts at Jericho and Masada, but makes no mention of 2A or 2B (= Qumran scroll jar) in the first century C.E. at either site. Bar-Nathan does not</w:t>
      </w:r>
      <w:r w:rsidR="00A83CCA">
        <w:rPr>
          <w:rFonts w:asciiTheme="majorBidi" w:hAnsiTheme="majorBidi" w:cstheme="majorBidi"/>
        </w:rPr>
        <w:t>e</w:t>
      </w:r>
      <w:r w:rsidRPr="00ED0B9F">
        <w:rPr>
          <w:rFonts w:asciiTheme="majorBidi" w:hAnsiTheme="majorBidi" w:cstheme="majorBidi"/>
        </w:rPr>
        <w:t xml:space="preserve">: “Most of the pottery collected at Masada dates to the period of the Zealots (60-73 C.E.). Nevertheless, some of the </w:t>
      </w:r>
      <w:proofErr w:type="spellStart"/>
      <w:r w:rsidRPr="00ED0B9F">
        <w:rPr>
          <w:rFonts w:asciiTheme="majorBidi" w:hAnsiTheme="majorBidi" w:cstheme="majorBidi"/>
        </w:rPr>
        <w:t>Herodian</w:t>
      </w:r>
      <w:proofErr w:type="spellEnd"/>
      <w:r w:rsidRPr="00ED0B9F">
        <w:rPr>
          <w:rFonts w:asciiTheme="majorBidi" w:hAnsiTheme="majorBidi" w:cstheme="majorBidi"/>
        </w:rPr>
        <w:t xml:space="preserve"> pottery which had been stored at the site (belonging apparently to HR 1 [31-15 B.C.E.] and HR 2 [15 B.C.E.-6 C.E.]) was used later by the Zealots” (Bar-Nathan 2002, 147, n. 9). See also her article in this volume.</w:t>
      </w:r>
    </w:p>
  </w:footnote>
  <w:footnote w:id="23">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lang w:val="da-DK"/>
        </w:rPr>
        <w:t xml:space="preserve"> </w:t>
      </w:r>
      <w:r w:rsidRPr="00ED0B9F">
        <w:rPr>
          <w:rFonts w:asciiTheme="majorBidi" w:hAnsiTheme="majorBidi" w:cstheme="majorBidi"/>
          <w:lang w:val="da-DK"/>
        </w:rPr>
        <w:tab/>
        <w:t xml:space="preserve">De Vaux 1954: 217 mentions “entre le niv. </w:t>
      </w:r>
      <w:r w:rsidRPr="00C63F2E">
        <w:rPr>
          <w:rFonts w:asciiTheme="majorBidi" w:hAnsiTheme="majorBidi" w:cstheme="majorBidi"/>
        </w:rPr>
        <w:t xml:space="preserve">I et le niv. </w:t>
      </w:r>
      <w:r w:rsidRPr="00ED0B9F">
        <w:rPr>
          <w:rFonts w:asciiTheme="majorBidi" w:hAnsiTheme="majorBidi" w:cstheme="majorBidi"/>
        </w:rPr>
        <w:t xml:space="preserve">II </w:t>
      </w:r>
      <w:proofErr w:type="spellStart"/>
      <w:r w:rsidRPr="00ED0B9F">
        <w:rPr>
          <w:rFonts w:asciiTheme="majorBidi" w:hAnsiTheme="majorBidi" w:cstheme="majorBidi"/>
        </w:rPr>
        <w:t>une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évolution</w:t>
      </w:r>
      <w:proofErr w:type="spellEnd"/>
      <w:r w:rsidRPr="00ED0B9F">
        <w:rPr>
          <w:rFonts w:asciiTheme="majorBidi" w:hAnsiTheme="majorBidi" w:cstheme="majorBidi"/>
        </w:rPr>
        <w:t xml:space="preserve"> [. . .</w:t>
      </w:r>
      <w:proofErr w:type="gramStart"/>
      <w:r w:rsidRPr="00ED0B9F">
        <w:rPr>
          <w:rFonts w:asciiTheme="majorBidi" w:hAnsiTheme="majorBidi" w:cstheme="majorBidi"/>
        </w:rPr>
        <w:t>]apparition</w:t>
      </w:r>
      <w:proofErr w:type="gramEnd"/>
      <w:r w:rsidRPr="00ED0B9F">
        <w:rPr>
          <w:rFonts w:asciiTheme="majorBidi" w:hAnsiTheme="majorBidi" w:cstheme="majorBidi"/>
        </w:rPr>
        <w:t xml:space="preserve"> du type figs. 4, 5 [= classic cylindrical scroll jar of locus 13]”.</w:t>
      </w:r>
    </w:p>
  </w:footnote>
  <w:footnote w:id="24">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De Vaux 1973, 54 states: “[T]he cylindrical jars [. . .] are, in fact, common to both periods”. </w:t>
      </w:r>
      <w:proofErr w:type="gramStart"/>
      <w:r w:rsidRPr="00ED0B9F">
        <w:rPr>
          <w:rFonts w:asciiTheme="majorBidi" w:hAnsiTheme="majorBidi" w:cstheme="majorBidi"/>
        </w:rPr>
        <w:t>Cf. id., “</w:t>
      </w:r>
      <w:proofErr w:type="spellStart"/>
      <w:r w:rsidRPr="00ED0B9F">
        <w:rPr>
          <w:rFonts w:asciiTheme="majorBidi" w:hAnsiTheme="majorBidi" w:cstheme="majorBidi"/>
        </w:rPr>
        <w:t>Archéologie</w:t>
      </w:r>
      <w:proofErr w:type="spellEnd"/>
      <w:r w:rsidRPr="00ED0B9F">
        <w:rPr>
          <w:rFonts w:asciiTheme="majorBidi" w:hAnsiTheme="majorBidi" w:cstheme="majorBidi"/>
        </w:rPr>
        <w:t xml:space="preserve"> I. Exploration de la </w:t>
      </w:r>
      <w:proofErr w:type="spellStart"/>
      <w:r w:rsidRPr="00ED0B9F">
        <w:rPr>
          <w:rFonts w:asciiTheme="majorBidi" w:hAnsiTheme="majorBidi" w:cstheme="majorBidi"/>
        </w:rPr>
        <w:t>falaise</w:t>
      </w:r>
      <w:proofErr w:type="spellEnd"/>
      <w:r w:rsidRPr="00ED0B9F">
        <w:rPr>
          <w:rFonts w:asciiTheme="majorBidi" w:hAnsiTheme="majorBidi" w:cstheme="majorBidi"/>
        </w:rPr>
        <w:t xml:space="preserve"> de </w:t>
      </w:r>
      <w:proofErr w:type="spellStart"/>
      <w:r w:rsidRPr="00ED0B9F">
        <w:rPr>
          <w:rFonts w:asciiTheme="majorBidi" w:hAnsiTheme="majorBidi" w:cstheme="majorBidi"/>
        </w:rPr>
        <w:t>Qumrân</w:t>
      </w:r>
      <w:proofErr w:type="spellEnd"/>
      <w:r w:rsidRPr="00ED0B9F">
        <w:rPr>
          <w:rFonts w:asciiTheme="majorBidi" w:hAnsiTheme="majorBidi" w:cstheme="majorBidi"/>
        </w:rPr>
        <w:t>.”</w:t>
      </w:r>
      <w:proofErr w:type="gramEnd"/>
      <w:r w:rsidRPr="00ED0B9F">
        <w:rPr>
          <w:rFonts w:asciiTheme="majorBidi" w:hAnsiTheme="majorBidi" w:cstheme="majorBidi"/>
        </w:rPr>
        <w:t xml:space="preserve"> In: DJD 3, 14: “On les </w:t>
      </w:r>
      <w:proofErr w:type="spellStart"/>
      <w:r w:rsidRPr="00ED0B9F">
        <w:rPr>
          <w:rFonts w:asciiTheme="majorBidi" w:hAnsiTheme="majorBidi" w:cstheme="majorBidi"/>
        </w:rPr>
        <w:t>rencontre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dans</w:t>
      </w:r>
      <w:proofErr w:type="spellEnd"/>
      <w:r w:rsidRPr="00ED0B9F">
        <w:rPr>
          <w:rFonts w:asciiTheme="majorBidi" w:hAnsiTheme="majorBidi" w:cstheme="majorBidi"/>
        </w:rPr>
        <w:t xml:space="preserve"> le </w:t>
      </w:r>
      <w:proofErr w:type="spellStart"/>
      <w:r w:rsidRPr="00ED0B9F">
        <w:rPr>
          <w:rFonts w:asciiTheme="majorBidi" w:hAnsiTheme="majorBidi" w:cstheme="majorBidi"/>
        </w:rPr>
        <w:t>niveau</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Ib</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aussi</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bien</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que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dans</w:t>
      </w:r>
      <w:proofErr w:type="spellEnd"/>
      <w:r w:rsidRPr="00ED0B9F">
        <w:rPr>
          <w:rFonts w:asciiTheme="majorBidi" w:hAnsiTheme="majorBidi" w:cstheme="majorBidi"/>
        </w:rPr>
        <w:t xml:space="preserve"> le </w:t>
      </w:r>
      <w:proofErr w:type="spellStart"/>
      <w:r w:rsidRPr="00ED0B9F">
        <w:rPr>
          <w:rFonts w:asciiTheme="majorBidi" w:hAnsiTheme="majorBidi" w:cstheme="majorBidi"/>
        </w:rPr>
        <w:t>niveau</w:t>
      </w:r>
      <w:proofErr w:type="spellEnd"/>
      <w:r w:rsidRPr="00ED0B9F">
        <w:rPr>
          <w:rFonts w:asciiTheme="majorBidi" w:hAnsiTheme="majorBidi" w:cstheme="majorBidi"/>
        </w:rPr>
        <w:t xml:space="preserve"> II”.</w:t>
      </w:r>
    </w:p>
  </w:footnote>
  <w:footnote w:id="25">
    <w:p w:rsidR="00444F86" w:rsidRPr="00C63F2E" w:rsidRDefault="00444F86">
      <w:pPr>
        <w:pStyle w:val="FootnoteText"/>
        <w:rPr>
          <w:rFonts w:asciiTheme="majorBidi" w:hAnsiTheme="majorBidi" w:cstheme="majorBidi"/>
          <w:lang w:val="da-DK"/>
        </w:rPr>
      </w:pPr>
      <w:r w:rsidRPr="00ED0B9F">
        <w:rPr>
          <w:rStyle w:val="FootnoteReference"/>
          <w:rFonts w:asciiTheme="majorBidi" w:hAnsiTheme="majorBidi" w:cstheme="majorBidi"/>
        </w:rPr>
        <w:footnoteRef/>
      </w:r>
      <w:r w:rsidRPr="00C63F2E">
        <w:rPr>
          <w:rFonts w:asciiTheme="majorBidi" w:hAnsiTheme="majorBidi" w:cstheme="majorBidi"/>
          <w:lang w:val="da-DK"/>
        </w:rPr>
        <w:t xml:space="preserve"> </w:t>
      </w:r>
      <w:r w:rsidRPr="00C63F2E">
        <w:rPr>
          <w:rFonts w:asciiTheme="majorBidi" w:hAnsiTheme="majorBidi" w:cstheme="majorBidi"/>
          <w:lang w:val="da-DK"/>
        </w:rPr>
        <w:tab/>
        <w:t>De Vaux 1954, fig. 5.3.</w:t>
      </w:r>
    </w:p>
  </w:footnote>
  <w:footnote w:id="26">
    <w:p w:rsidR="00444F86" w:rsidRPr="00C63F2E" w:rsidRDefault="00444F86">
      <w:pPr>
        <w:pStyle w:val="FootnoteText"/>
        <w:rPr>
          <w:rFonts w:asciiTheme="majorBidi" w:hAnsiTheme="majorBidi" w:cstheme="majorBidi"/>
          <w:lang w:val="da-DK"/>
        </w:rPr>
      </w:pPr>
      <w:r w:rsidRPr="00ED0B9F">
        <w:rPr>
          <w:rStyle w:val="FootnoteReference"/>
          <w:rFonts w:asciiTheme="majorBidi" w:hAnsiTheme="majorBidi" w:cstheme="majorBidi"/>
        </w:rPr>
        <w:footnoteRef/>
      </w:r>
      <w:r w:rsidRPr="00C63F2E">
        <w:rPr>
          <w:rFonts w:asciiTheme="majorBidi" w:hAnsiTheme="majorBidi" w:cstheme="majorBidi"/>
          <w:lang w:val="da-DK"/>
        </w:rPr>
        <w:t xml:space="preserve"> </w:t>
      </w:r>
      <w:r w:rsidRPr="00C63F2E">
        <w:rPr>
          <w:rFonts w:asciiTheme="majorBidi" w:hAnsiTheme="majorBidi" w:cstheme="majorBidi"/>
          <w:lang w:val="da-DK"/>
        </w:rPr>
        <w:tab/>
        <w:t>De Vaux 1956: 541.</w:t>
      </w:r>
    </w:p>
  </w:footnote>
  <w:footnote w:id="27">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See note 23 above.</w:t>
      </w:r>
    </w:p>
  </w:footnote>
  <w:footnote w:id="28">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Table 2 has been updated to reflect available published information </w:t>
      </w:r>
      <w:r w:rsidR="00A83CCA">
        <w:rPr>
          <w:rFonts w:asciiTheme="majorBidi" w:hAnsiTheme="majorBidi" w:cstheme="majorBidi"/>
        </w:rPr>
        <w:t>[updated 2006</w:t>
      </w:r>
      <w:r w:rsidRPr="00A83CCA">
        <w:rPr>
          <w:rFonts w:asciiTheme="majorBidi" w:hAnsiTheme="majorBidi" w:cstheme="majorBidi"/>
        </w:rPr>
        <w:t>].</w:t>
      </w:r>
      <w:r w:rsidRPr="00ED0B9F">
        <w:rPr>
          <w:rFonts w:asciiTheme="majorBidi" w:hAnsiTheme="majorBidi" w:cstheme="majorBidi"/>
        </w:rPr>
        <w:t xml:space="preserve"> Abbreviations in Table 2 and this note: DV = De Vaux (1953, 1954, 1956, 1973). HC = </w:t>
      </w:r>
      <w:proofErr w:type="spellStart"/>
      <w:r w:rsidRPr="00ED0B9F">
        <w:rPr>
          <w:rFonts w:asciiTheme="majorBidi" w:hAnsiTheme="majorBidi" w:cstheme="majorBidi"/>
        </w:rPr>
        <w:t>Humbert</w:t>
      </w:r>
      <w:proofErr w:type="spellEnd"/>
      <w:r w:rsidRPr="00ED0B9F">
        <w:rPr>
          <w:rFonts w:asciiTheme="majorBidi" w:hAnsiTheme="majorBidi" w:cstheme="majorBidi"/>
        </w:rPr>
        <w:t xml:space="preserve"> and </w:t>
      </w:r>
      <w:proofErr w:type="spellStart"/>
      <w:r w:rsidRPr="00ED0B9F">
        <w:rPr>
          <w:rFonts w:asciiTheme="majorBidi" w:hAnsiTheme="majorBidi" w:cstheme="majorBidi"/>
        </w:rPr>
        <w:t>Chambon</w:t>
      </w:r>
      <w:proofErr w:type="spellEnd"/>
      <w:r w:rsidRPr="00ED0B9F">
        <w:rPr>
          <w:rFonts w:asciiTheme="majorBidi" w:hAnsiTheme="majorBidi" w:cstheme="majorBidi"/>
        </w:rPr>
        <w:t xml:space="preserve"> (1994). </w:t>
      </w:r>
      <w:proofErr w:type="spellStart"/>
      <w:r w:rsidRPr="00ED0B9F">
        <w:rPr>
          <w:rFonts w:asciiTheme="majorBidi" w:hAnsiTheme="majorBidi" w:cstheme="majorBidi"/>
        </w:rPr>
        <w:t>Pfann</w:t>
      </w:r>
      <w:proofErr w:type="spellEnd"/>
      <w:r w:rsidRPr="00ED0B9F">
        <w:rPr>
          <w:rFonts w:asciiTheme="majorBidi" w:hAnsiTheme="majorBidi" w:cstheme="majorBidi"/>
        </w:rPr>
        <w:t xml:space="preserve"> 2003 = </w:t>
      </w:r>
      <w:proofErr w:type="gramStart"/>
      <w:r w:rsidRPr="00ED0B9F">
        <w:rPr>
          <w:rFonts w:asciiTheme="majorBidi" w:hAnsiTheme="majorBidi" w:cstheme="majorBidi"/>
          <w:i/>
          <w:iCs/>
        </w:rPr>
        <w:t>The</w:t>
      </w:r>
      <w:proofErr w:type="gramEnd"/>
      <w:r w:rsidRPr="00ED0B9F">
        <w:rPr>
          <w:rFonts w:asciiTheme="majorBidi" w:hAnsiTheme="majorBidi" w:cstheme="majorBidi"/>
          <w:i/>
          <w:iCs/>
        </w:rPr>
        <w:t xml:space="preserve"> Excavations of Khirbet Qumran and </w:t>
      </w:r>
      <w:proofErr w:type="spellStart"/>
      <w:r w:rsidRPr="00ED0B9F">
        <w:rPr>
          <w:rFonts w:asciiTheme="majorBidi" w:hAnsiTheme="majorBidi" w:cstheme="majorBidi"/>
          <w:i/>
          <w:iCs/>
        </w:rPr>
        <w:t>Ain</w:t>
      </w:r>
      <w:proofErr w:type="spellEnd"/>
      <w:r w:rsidRPr="00ED0B9F">
        <w:rPr>
          <w:rFonts w:asciiTheme="majorBidi" w:hAnsiTheme="majorBidi" w:cstheme="majorBidi"/>
          <w:i/>
          <w:iCs/>
        </w:rPr>
        <w:t xml:space="preserve"> </w:t>
      </w:r>
      <w:proofErr w:type="spellStart"/>
      <w:r w:rsidRPr="00ED0B9F">
        <w:rPr>
          <w:rFonts w:asciiTheme="majorBidi" w:hAnsiTheme="majorBidi" w:cstheme="majorBidi"/>
          <w:i/>
          <w:iCs/>
        </w:rPr>
        <w:t>Feshkha</w:t>
      </w:r>
      <w:proofErr w:type="spellEnd"/>
      <w:r w:rsidRPr="00ED0B9F">
        <w:rPr>
          <w:rFonts w:asciiTheme="majorBidi" w:hAnsiTheme="majorBidi" w:cstheme="majorBidi"/>
          <w:i/>
          <w:iCs/>
        </w:rPr>
        <w:t xml:space="preserve">. Vol. 1B: Synthesis of Roland de Vaux’s Field Notes. </w:t>
      </w:r>
      <w:r w:rsidRPr="00ED0B9F">
        <w:rPr>
          <w:rFonts w:asciiTheme="majorBidi" w:hAnsiTheme="majorBidi" w:cstheme="majorBidi"/>
        </w:rPr>
        <w:t xml:space="preserve">NTOA.SA 1B (Trans. and revised by S. </w:t>
      </w:r>
      <w:proofErr w:type="spellStart"/>
      <w:r w:rsidRPr="00ED0B9F">
        <w:rPr>
          <w:rFonts w:asciiTheme="majorBidi" w:hAnsiTheme="majorBidi" w:cstheme="majorBidi"/>
        </w:rPr>
        <w:t>Pfann</w:t>
      </w:r>
      <w:proofErr w:type="spellEnd"/>
      <w:r w:rsidRPr="00ED0B9F">
        <w:rPr>
          <w:rFonts w:asciiTheme="majorBidi" w:hAnsiTheme="majorBidi" w:cstheme="majorBidi"/>
        </w:rPr>
        <w:t xml:space="preserve">; Fribourg: </w:t>
      </w:r>
      <w:proofErr w:type="spellStart"/>
      <w:r w:rsidRPr="00ED0B9F">
        <w:rPr>
          <w:rFonts w:asciiTheme="majorBidi" w:hAnsiTheme="majorBidi" w:cstheme="majorBidi"/>
        </w:rPr>
        <w:t>Éditions</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Universitaires</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Göttingen</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Vandenhoeck</w:t>
      </w:r>
      <w:proofErr w:type="spellEnd"/>
      <w:r w:rsidRPr="00ED0B9F">
        <w:rPr>
          <w:rFonts w:asciiTheme="majorBidi" w:hAnsiTheme="majorBidi" w:cstheme="majorBidi"/>
        </w:rPr>
        <w:t xml:space="preserve"> &amp; </w:t>
      </w:r>
      <w:proofErr w:type="spellStart"/>
      <w:r w:rsidRPr="00ED0B9F">
        <w:rPr>
          <w:rFonts w:asciiTheme="majorBidi" w:hAnsiTheme="majorBidi" w:cstheme="majorBidi"/>
        </w:rPr>
        <w:t>Ruprecht</w:t>
      </w:r>
      <w:proofErr w:type="spellEnd"/>
      <w:r w:rsidRPr="00ED0B9F">
        <w:rPr>
          <w:rFonts w:asciiTheme="majorBidi" w:hAnsiTheme="majorBidi" w:cstheme="majorBidi"/>
        </w:rPr>
        <w:t xml:space="preserve">, 2003). </w:t>
      </w:r>
      <w:proofErr w:type="spellStart"/>
      <w:r w:rsidRPr="00ED0B9F">
        <w:rPr>
          <w:rFonts w:asciiTheme="majorBidi" w:hAnsiTheme="majorBidi" w:cstheme="majorBidi"/>
        </w:rPr>
        <w:t>Gunneweg</w:t>
      </w:r>
      <w:proofErr w:type="spellEnd"/>
      <w:r w:rsidRPr="00ED0B9F">
        <w:rPr>
          <w:rFonts w:asciiTheme="majorBidi" w:hAnsiTheme="majorBidi" w:cstheme="majorBidi"/>
        </w:rPr>
        <w:t>/</w:t>
      </w:r>
      <w:proofErr w:type="spellStart"/>
      <w:r w:rsidRPr="00ED0B9F">
        <w:rPr>
          <w:rFonts w:asciiTheme="majorBidi" w:hAnsiTheme="majorBidi" w:cstheme="majorBidi"/>
        </w:rPr>
        <w:t>Balla</w:t>
      </w:r>
      <w:proofErr w:type="spellEnd"/>
      <w:r w:rsidRPr="00ED0B9F">
        <w:rPr>
          <w:rFonts w:asciiTheme="majorBidi" w:hAnsiTheme="majorBidi" w:cstheme="majorBidi"/>
        </w:rPr>
        <w:t xml:space="preserve"> = J. </w:t>
      </w:r>
      <w:proofErr w:type="spellStart"/>
      <w:r w:rsidRPr="00ED0B9F">
        <w:rPr>
          <w:rFonts w:asciiTheme="majorBidi" w:hAnsiTheme="majorBidi" w:cstheme="majorBidi"/>
        </w:rPr>
        <w:t>Gunneweg</w:t>
      </w:r>
      <w:proofErr w:type="spellEnd"/>
      <w:r w:rsidRPr="00ED0B9F">
        <w:rPr>
          <w:rFonts w:asciiTheme="majorBidi" w:hAnsiTheme="majorBidi" w:cstheme="majorBidi"/>
        </w:rPr>
        <w:t xml:space="preserve"> and M. </w:t>
      </w:r>
      <w:proofErr w:type="spellStart"/>
      <w:r w:rsidRPr="00ED0B9F">
        <w:rPr>
          <w:rFonts w:asciiTheme="majorBidi" w:hAnsiTheme="majorBidi" w:cstheme="majorBidi"/>
        </w:rPr>
        <w:t>Balla</w:t>
      </w:r>
      <w:proofErr w:type="spellEnd"/>
      <w:r w:rsidRPr="00ED0B9F">
        <w:rPr>
          <w:rFonts w:asciiTheme="majorBidi" w:hAnsiTheme="majorBidi" w:cstheme="majorBidi"/>
        </w:rPr>
        <w:t xml:space="preserve">, “Neutron Activation Analysis. </w:t>
      </w:r>
      <w:proofErr w:type="gramStart"/>
      <w:r w:rsidRPr="00ED0B9F">
        <w:rPr>
          <w:rFonts w:asciiTheme="majorBidi" w:hAnsiTheme="majorBidi" w:cstheme="majorBidi"/>
        </w:rPr>
        <w:t>Scroll Jars and Common Ware.”</w:t>
      </w:r>
      <w:proofErr w:type="gramEnd"/>
      <w:r w:rsidRPr="00ED0B9F">
        <w:rPr>
          <w:rFonts w:asciiTheme="majorBidi" w:hAnsiTheme="majorBidi" w:cstheme="majorBidi"/>
        </w:rPr>
        <w:t xml:space="preserve"> In: </w:t>
      </w:r>
      <w:proofErr w:type="spellStart"/>
      <w:r w:rsidRPr="00ED0B9F">
        <w:rPr>
          <w:rFonts w:asciiTheme="majorBidi" w:hAnsiTheme="majorBidi" w:cstheme="majorBidi"/>
        </w:rPr>
        <w:t>Humbert</w:t>
      </w:r>
      <w:proofErr w:type="spellEnd"/>
      <w:r w:rsidRPr="00ED0B9F">
        <w:rPr>
          <w:rFonts w:asciiTheme="majorBidi" w:hAnsiTheme="majorBidi" w:cstheme="majorBidi"/>
        </w:rPr>
        <w:t xml:space="preserve"> and </w:t>
      </w:r>
      <w:proofErr w:type="spellStart"/>
      <w:r w:rsidRPr="00ED0B9F">
        <w:rPr>
          <w:rFonts w:asciiTheme="majorBidi" w:hAnsiTheme="majorBidi" w:cstheme="majorBidi"/>
        </w:rPr>
        <w:t>Gunneweg</w:t>
      </w:r>
      <w:proofErr w:type="spellEnd"/>
      <w:r w:rsidRPr="00ED0B9F">
        <w:rPr>
          <w:rFonts w:asciiTheme="majorBidi" w:hAnsiTheme="majorBidi" w:cstheme="majorBidi"/>
        </w:rPr>
        <w:t xml:space="preserve"> 2003: 3-53. </w:t>
      </w:r>
      <w:proofErr w:type="spellStart"/>
      <w:r w:rsidRPr="00ED0B9F">
        <w:rPr>
          <w:rFonts w:asciiTheme="majorBidi" w:hAnsiTheme="majorBidi" w:cstheme="majorBidi"/>
        </w:rPr>
        <w:t>Hirschfeld</w:t>
      </w:r>
      <w:proofErr w:type="spellEnd"/>
      <w:r w:rsidRPr="00ED0B9F">
        <w:rPr>
          <w:rFonts w:asciiTheme="majorBidi" w:hAnsiTheme="majorBidi" w:cstheme="majorBidi"/>
        </w:rPr>
        <w:t xml:space="preserve"> 2004b = Y. </w:t>
      </w:r>
      <w:proofErr w:type="spellStart"/>
      <w:r w:rsidRPr="00ED0B9F">
        <w:rPr>
          <w:rFonts w:asciiTheme="majorBidi" w:hAnsiTheme="majorBidi" w:cstheme="majorBidi"/>
        </w:rPr>
        <w:t>Hirschfeld</w:t>
      </w:r>
      <w:proofErr w:type="spellEnd"/>
      <w:r w:rsidRPr="00ED0B9F">
        <w:rPr>
          <w:rFonts w:asciiTheme="majorBidi" w:hAnsiTheme="majorBidi" w:cstheme="majorBidi"/>
        </w:rPr>
        <w:t xml:space="preserve">, </w:t>
      </w:r>
      <w:r w:rsidRPr="00ED0B9F">
        <w:rPr>
          <w:rFonts w:asciiTheme="majorBidi" w:hAnsiTheme="majorBidi" w:cstheme="majorBidi"/>
          <w:i/>
          <w:iCs/>
        </w:rPr>
        <w:t xml:space="preserve">Qumran in Context. Reassessing the Archaeological Evidence </w:t>
      </w:r>
      <w:r w:rsidRPr="00ED0B9F">
        <w:rPr>
          <w:rFonts w:asciiTheme="majorBidi" w:hAnsiTheme="majorBidi" w:cstheme="majorBidi"/>
        </w:rPr>
        <w:t xml:space="preserve">(Peabody: Hendrickson, 2004). The database of Table 2 is incomplete due to inadequate information, but is intended to be a start. Locus 1’s KhQ2, locus 6’s KhQ75, locus 8’s KhQ192, locus 43’s </w:t>
      </w:r>
      <w:proofErr w:type="gramStart"/>
      <w:r w:rsidRPr="00ED0B9F">
        <w:rPr>
          <w:rFonts w:asciiTheme="majorBidi" w:hAnsiTheme="majorBidi" w:cstheme="majorBidi"/>
        </w:rPr>
        <w:t>KhQ885,</w:t>
      </w:r>
      <w:proofErr w:type="gramEnd"/>
      <w:r w:rsidRPr="00ED0B9F">
        <w:rPr>
          <w:rFonts w:asciiTheme="majorBidi" w:hAnsiTheme="majorBidi" w:cstheme="majorBidi"/>
        </w:rPr>
        <w:t xml:space="preserve"> and the South Trench’s KhQ2504 are each identified in de Vaux’s notes as “cylindrical jar[s]” but are not included because no information was known which could confirm or disconfirm whether those are scroll jars. At Locus 34 a “large, inscribed cylindrical jar”, KhQ621, has been omitted because it is classified as a “storage jar” by </w:t>
      </w:r>
      <w:proofErr w:type="spellStart"/>
      <w:r w:rsidRPr="00ED0B9F">
        <w:rPr>
          <w:rFonts w:asciiTheme="majorBidi" w:hAnsiTheme="majorBidi" w:cstheme="majorBidi"/>
        </w:rPr>
        <w:t>Gunneweg</w:t>
      </w:r>
      <w:proofErr w:type="spellEnd"/>
      <w:r w:rsidRPr="00ED0B9F">
        <w:rPr>
          <w:rFonts w:asciiTheme="majorBidi" w:hAnsiTheme="majorBidi" w:cstheme="majorBidi"/>
        </w:rPr>
        <w:t>/</w:t>
      </w:r>
      <w:proofErr w:type="spellStart"/>
      <w:r w:rsidRPr="00ED0B9F">
        <w:rPr>
          <w:rFonts w:asciiTheme="majorBidi" w:hAnsiTheme="majorBidi" w:cstheme="majorBidi"/>
        </w:rPr>
        <w:t>Balla</w:t>
      </w:r>
      <w:proofErr w:type="spellEnd"/>
      <w:r w:rsidRPr="00ED0B9F">
        <w:rPr>
          <w:rFonts w:asciiTheme="majorBidi" w:hAnsiTheme="majorBidi" w:cstheme="majorBidi"/>
        </w:rPr>
        <w:t xml:space="preserve"> (HG 15) rather than a “scroll jar”; it seems a little more bulging and the mouth less wide than other rounded-shoulder scroll jars but nevertheless looks similar. </w:t>
      </w:r>
      <w:proofErr w:type="spellStart"/>
      <w:r w:rsidRPr="00ED0B9F">
        <w:rPr>
          <w:rFonts w:asciiTheme="majorBidi" w:hAnsiTheme="majorBidi" w:cstheme="majorBidi"/>
        </w:rPr>
        <w:t>Gunneweg</w:t>
      </w:r>
      <w:proofErr w:type="spellEnd"/>
      <w:r w:rsidRPr="00ED0B9F">
        <w:rPr>
          <w:rFonts w:asciiTheme="majorBidi" w:hAnsiTheme="majorBidi" w:cstheme="majorBidi"/>
        </w:rPr>
        <w:t>/</w:t>
      </w:r>
      <w:proofErr w:type="spellStart"/>
      <w:r w:rsidRPr="00ED0B9F">
        <w:rPr>
          <w:rFonts w:asciiTheme="majorBidi" w:hAnsiTheme="majorBidi" w:cstheme="majorBidi"/>
        </w:rPr>
        <w:t>Balla’s</w:t>
      </w:r>
      <w:proofErr w:type="spellEnd"/>
      <w:r w:rsidRPr="00ED0B9F">
        <w:rPr>
          <w:rFonts w:asciiTheme="majorBidi" w:hAnsiTheme="majorBidi" w:cstheme="majorBidi"/>
        </w:rPr>
        <w:t xml:space="preserve"> lists have KhQ42 at locus 2 as a scroll jar, but KhQ42 as a “</w:t>
      </w:r>
      <w:proofErr w:type="spellStart"/>
      <w:r w:rsidRPr="00ED0B9F">
        <w:rPr>
          <w:rFonts w:asciiTheme="majorBidi" w:hAnsiTheme="majorBidi" w:cstheme="majorBidi"/>
        </w:rPr>
        <w:t>piriform</w:t>
      </w:r>
      <w:proofErr w:type="spellEnd"/>
      <w:r w:rsidRPr="00ED0B9F">
        <w:rPr>
          <w:rFonts w:asciiTheme="majorBidi" w:hAnsiTheme="majorBidi" w:cstheme="majorBidi"/>
        </w:rPr>
        <w:t xml:space="preserve"> jug” at </w:t>
      </w:r>
      <w:proofErr w:type="spellStart"/>
      <w:r w:rsidRPr="00ED0B9F">
        <w:rPr>
          <w:rFonts w:asciiTheme="majorBidi" w:hAnsiTheme="majorBidi" w:cstheme="majorBidi"/>
        </w:rPr>
        <w:t>Pfann</w:t>
      </w:r>
      <w:proofErr w:type="spellEnd"/>
      <w:r w:rsidRPr="00ED0B9F">
        <w:rPr>
          <w:rFonts w:asciiTheme="majorBidi" w:hAnsiTheme="majorBidi" w:cstheme="majorBidi"/>
        </w:rPr>
        <w:t xml:space="preserve"> 2003: 12; because of the discrepancy</w:t>
      </w:r>
      <w:r w:rsidR="00A83CCA">
        <w:rPr>
          <w:rFonts w:asciiTheme="majorBidi" w:hAnsiTheme="majorBidi" w:cstheme="majorBidi"/>
        </w:rPr>
        <w:t xml:space="preserve"> this item was not included. KhQ</w:t>
      </w:r>
      <w:r w:rsidRPr="00ED0B9F">
        <w:rPr>
          <w:rFonts w:asciiTheme="majorBidi" w:hAnsiTheme="majorBidi" w:cstheme="majorBidi"/>
        </w:rPr>
        <w:t xml:space="preserve">917, drawn at HG 15 attributed to locus 44, is omitted because it is “a cylindrical </w:t>
      </w:r>
      <w:proofErr w:type="gramStart"/>
      <w:r w:rsidRPr="00ED0B9F">
        <w:rPr>
          <w:rFonts w:asciiTheme="majorBidi" w:hAnsiTheme="majorBidi" w:cstheme="majorBidi"/>
        </w:rPr>
        <w:t>jar</w:t>
      </w:r>
      <w:proofErr w:type="gramEnd"/>
      <w:r w:rsidRPr="00ED0B9F">
        <w:rPr>
          <w:rFonts w:asciiTheme="majorBidi" w:hAnsiTheme="majorBidi" w:cstheme="majorBidi"/>
        </w:rPr>
        <w:t>, but unlike a scroll jar” (</w:t>
      </w:r>
      <w:proofErr w:type="spellStart"/>
      <w:r w:rsidRPr="00ED0B9F">
        <w:rPr>
          <w:rFonts w:asciiTheme="majorBidi" w:hAnsiTheme="majorBidi" w:cstheme="majorBidi"/>
        </w:rPr>
        <w:t>Gunneweg</w:t>
      </w:r>
      <w:proofErr w:type="spellEnd"/>
      <w:r w:rsidRPr="00ED0B9F">
        <w:rPr>
          <w:rFonts w:asciiTheme="majorBidi" w:hAnsiTheme="majorBidi" w:cstheme="majorBidi"/>
        </w:rPr>
        <w:t>/</w:t>
      </w:r>
      <w:proofErr w:type="spellStart"/>
      <w:r w:rsidRPr="00ED0B9F">
        <w:rPr>
          <w:rFonts w:asciiTheme="majorBidi" w:hAnsiTheme="majorBidi" w:cstheme="majorBidi"/>
        </w:rPr>
        <w:t>Balla</w:t>
      </w:r>
      <w:proofErr w:type="spellEnd"/>
      <w:r w:rsidRPr="00ED0B9F">
        <w:rPr>
          <w:rFonts w:asciiTheme="majorBidi" w:hAnsiTheme="majorBidi" w:cstheme="majorBidi"/>
        </w:rPr>
        <w:t xml:space="preserve">, HG 10). KhQ908 of locus 45C is omitted because </w:t>
      </w:r>
      <w:proofErr w:type="spellStart"/>
      <w:r w:rsidRPr="00ED0B9F">
        <w:rPr>
          <w:rFonts w:asciiTheme="majorBidi" w:hAnsiTheme="majorBidi" w:cstheme="majorBidi"/>
        </w:rPr>
        <w:t>Gunneweg</w:t>
      </w:r>
      <w:proofErr w:type="spellEnd"/>
      <w:r w:rsidRPr="00ED0B9F">
        <w:rPr>
          <w:rFonts w:asciiTheme="majorBidi" w:hAnsiTheme="majorBidi" w:cstheme="majorBidi"/>
        </w:rPr>
        <w:t>/</w:t>
      </w:r>
      <w:proofErr w:type="spellStart"/>
      <w:r w:rsidRPr="00ED0B9F">
        <w:rPr>
          <w:rFonts w:asciiTheme="majorBidi" w:hAnsiTheme="majorBidi" w:cstheme="majorBidi"/>
        </w:rPr>
        <w:t>Balla</w:t>
      </w:r>
      <w:proofErr w:type="spellEnd"/>
      <w:r w:rsidRPr="00ED0B9F">
        <w:rPr>
          <w:rFonts w:asciiTheme="majorBidi" w:hAnsiTheme="majorBidi" w:cstheme="majorBidi"/>
        </w:rPr>
        <w:t xml:space="preserve"> consistently report KhQ908 is an “ovoid jar” (HG 19, 37, 39, 43), even though the drawings at DV 1954, Fig. 5:3 and HG 21 appear to show a non-ovoid, rounded-shoulder scroll jar type. At locus 114, KhQ2656 and KhQ2657 are identified in de Vaux’s notes as “jars with a broad opening” (</w:t>
      </w:r>
      <w:proofErr w:type="spellStart"/>
      <w:r w:rsidRPr="00ED0B9F">
        <w:rPr>
          <w:rFonts w:asciiTheme="majorBidi" w:hAnsiTheme="majorBidi" w:cstheme="majorBidi"/>
        </w:rPr>
        <w:t>Pfann</w:t>
      </w:r>
      <w:proofErr w:type="spellEnd"/>
      <w:r w:rsidRPr="00ED0B9F">
        <w:rPr>
          <w:rFonts w:asciiTheme="majorBidi" w:hAnsiTheme="majorBidi" w:cstheme="majorBidi"/>
        </w:rPr>
        <w:t xml:space="preserve"> 2003, 50), but no information confirms or disconfirms affinity to scroll jars. On the other hand, two jars on a page of “storage jars” (HG 15) distinct from a page of “scroll jars” (HG 12) are included in Table 2. These are KhQ2989 of “locus 44” (sic; locus 41), because </w:t>
      </w:r>
      <w:proofErr w:type="spellStart"/>
      <w:r w:rsidRPr="00ED0B9F">
        <w:rPr>
          <w:rFonts w:asciiTheme="majorBidi" w:hAnsiTheme="majorBidi" w:cstheme="majorBidi"/>
        </w:rPr>
        <w:t>Gunneweg</w:t>
      </w:r>
      <w:proofErr w:type="spellEnd"/>
      <w:r w:rsidRPr="00ED0B9F">
        <w:rPr>
          <w:rFonts w:asciiTheme="majorBidi" w:hAnsiTheme="majorBidi" w:cstheme="majorBidi"/>
        </w:rPr>
        <w:t>/</w:t>
      </w:r>
      <w:proofErr w:type="spellStart"/>
      <w:r w:rsidRPr="00ED0B9F">
        <w:rPr>
          <w:rFonts w:asciiTheme="majorBidi" w:hAnsiTheme="majorBidi" w:cstheme="majorBidi"/>
        </w:rPr>
        <w:t>Balla</w:t>
      </w:r>
      <w:proofErr w:type="spellEnd"/>
      <w:r w:rsidRPr="00ED0B9F">
        <w:rPr>
          <w:rFonts w:asciiTheme="majorBidi" w:hAnsiTheme="majorBidi" w:cstheme="majorBidi"/>
        </w:rPr>
        <w:t xml:space="preserve"> elsewhere call it a “</w:t>
      </w:r>
      <w:proofErr w:type="spellStart"/>
      <w:r w:rsidRPr="00ED0B9F">
        <w:rPr>
          <w:rFonts w:asciiTheme="majorBidi" w:hAnsiTheme="majorBidi" w:cstheme="majorBidi"/>
        </w:rPr>
        <w:t>bursted</w:t>
      </w:r>
      <w:proofErr w:type="spellEnd"/>
      <w:r w:rsidRPr="00ED0B9F">
        <w:rPr>
          <w:rFonts w:asciiTheme="majorBidi" w:hAnsiTheme="majorBidi" w:cstheme="majorBidi"/>
        </w:rPr>
        <w:t xml:space="preserve"> scroll jar” (HG 45); and locus 84, KhQ1401, because the drawing of this jar at HG 15 and photo at HG 355 appear unambiguously to show a scroll jar.</w:t>
      </w:r>
    </w:p>
  </w:footnote>
  <w:footnote w:id="29">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De Vaux thought scroll jars were in use in </w:t>
      </w:r>
      <w:proofErr w:type="spellStart"/>
      <w:proofErr w:type="gramStart"/>
      <w:r w:rsidRPr="00ED0B9F">
        <w:rPr>
          <w:rFonts w:asciiTheme="majorBidi" w:hAnsiTheme="majorBidi" w:cstheme="majorBidi"/>
        </w:rPr>
        <w:t>Ib</w:t>
      </w:r>
      <w:proofErr w:type="spellEnd"/>
      <w:proofErr w:type="gramEnd"/>
      <w:r w:rsidRPr="00ED0B9F">
        <w:rPr>
          <w:rFonts w:asciiTheme="majorBidi" w:hAnsiTheme="majorBidi" w:cstheme="majorBidi"/>
        </w:rPr>
        <w:t xml:space="preserve"> (see above, n. 24), and </w:t>
      </w:r>
      <w:proofErr w:type="spellStart"/>
      <w:r w:rsidRPr="00ED0B9F">
        <w:rPr>
          <w:rFonts w:asciiTheme="majorBidi" w:hAnsiTheme="majorBidi" w:cstheme="majorBidi"/>
        </w:rPr>
        <w:t>Magness</w:t>
      </w:r>
      <w:proofErr w:type="spellEnd"/>
      <w:r w:rsidRPr="00ED0B9F">
        <w:rPr>
          <w:rFonts w:asciiTheme="majorBidi" w:hAnsiTheme="majorBidi" w:cstheme="majorBidi"/>
        </w:rPr>
        <w:t xml:space="preserve"> 2002f, 80 agrees: “cylindrical [scroll] jars are represented [at </w:t>
      </w:r>
      <w:r w:rsidR="00A83CCA">
        <w:rPr>
          <w:rFonts w:asciiTheme="majorBidi" w:hAnsiTheme="majorBidi" w:cstheme="majorBidi"/>
        </w:rPr>
        <w:t>Qumran] in the post-31 B.C.E. p</w:t>
      </w:r>
      <w:r w:rsidRPr="00ED0B9F">
        <w:rPr>
          <w:rFonts w:asciiTheme="majorBidi" w:hAnsiTheme="majorBidi" w:cstheme="majorBidi"/>
        </w:rPr>
        <w:t xml:space="preserve">hase of Period </w:t>
      </w:r>
      <w:proofErr w:type="spellStart"/>
      <w:r w:rsidRPr="00ED0B9F">
        <w:rPr>
          <w:rFonts w:asciiTheme="majorBidi" w:hAnsiTheme="majorBidi" w:cstheme="majorBidi"/>
        </w:rPr>
        <w:t>Ib</w:t>
      </w:r>
      <w:proofErr w:type="spellEnd"/>
      <w:r w:rsidRPr="00ED0B9F">
        <w:rPr>
          <w:rFonts w:asciiTheme="majorBidi" w:hAnsiTheme="majorBidi" w:cstheme="majorBidi"/>
        </w:rPr>
        <w:t>”.</w:t>
      </w:r>
    </w:p>
  </w:footnote>
  <w:footnote w:id="30">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Bar-Nathan 2002, 27 writes: “At Qumran these containers [J-SJ2B scroll jars] were used for storage and were closed with a bowl-lid. The bowl-lid (J-LD) found at Jericho is identical to the one most common at Qumran”.</w:t>
      </w:r>
    </w:p>
  </w:footnote>
  <w:footnote w:id="31">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Table 1 data is from Bar-Nathan 2002, 229, 239, 240, </w:t>
      </w:r>
      <w:proofErr w:type="gramStart"/>
      <w:r w:rsidRPr="00ED0B9F">
        <w:rPr>
          <w:rFonts w:asciiTheme="majorBidi" w:hAnsiTheme="majorBidi" w:cstheme="majorBidi"/>
        </w:rPr>
        <w:t>238</w:t>
      </w:r>
      <w:proofErr w:type="gramEnd"/>
      <w:r w:rsidRPr="00ED0B9F">
        <w:rPr>
          <w:rFonts w:asciiTheme="majorBidi" w:hAnsiTheme="majorBidi" w:cstheme="majorBidi"/>
        </w:rPr>
        <w:t>, respectively.</w:t>
      </w:r>
    </w:p>
  </w:footnote>
  <w:footnote w:id="32">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De Vaux 1973, 120 wrote: “The clearest proof of all [that the occupiers of Period II belonged to the same group which had left Qumran in Period </w:t>
      </w:r>
      <w:proofErr w:type="spellStart"/>
      <w:r w:rsidRPr="00ED0B9F">
        <w:rPr>
          <w:rFonts w:asciiTheme="majorBidi" w:hAnsiTheme="majorBidi" w:cstheme="majorBidi"/>
        </w:rPr>
        <w:t>Ib</w:t>
      </w:r>
      <w:proofErr w:type="spellEnd"/>
      <w:r w:rsidRPr="00ED0B9F">
        <w:rPr>
          <w:rFonts w:asciiTheme="majorBidi" w:hAnsiTheme="majorBidi" w:cstheme="majorBidi"/>
        </w:rPr>
        <w:t>] is, perhaps, the evidence that so special a rite as the burying of the [animal] bones was observed at both periods”. “The majority [of the bone deposits] belong to Ib. This applies to those taken from the trench to the south and to most of those buried to the north of the secondary building, loc. 130” (</w:t>
      </w:r>
      <w:proofErr w:type="gramStart"/>
      <w:r w:rsidRPr="00ED0B9F">
        <w:rPr>
          <w:rFonts w:asciiTheme="majorBidi" w:hAnsiTheme="majorBidi" w:cstheme="majorBidi"/>
        </w:rPr>
        <w:t>ibid.,</w:t>
      </w:r>
      <w:proofErr w:type="gramEnd"/>
      <w:r w:rsidRPr="00ED0B9F">
        <w:rPr>
          <w:rFonts w:asciiTheme="majorBidi" w:hAnsiTheme="majorBidi" w:cstheme="majorBidi"/>
        </w:rPr>
        <w:t xml:space="preserve"> 13).</w:t>
      </w:r>
    </w:p>
  </w:footnote>
  <w:footnote w:id="33">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After examining de Vaux’s unpublished materials, R. </w:t>
      </w:r>
      <w:proofErr w:type="spellStart"/>
      <w:r w:rsidRPr="00ED0B9F">
        <w:rPr>
          <w:rFonts w:asciiTheme="majorBidi" w:hAnsiTheme="majorBidi" w:cstheme="majorBidi"/>
        </w:rPr>
        <w:t>Donceel</w:t>
      </w:r>
      <w:proofErr w:type="spellEnd"/>
      <w:r w:rsidRPr="00ED0B9F">
        <w:rPr>
          <w:rFonts w:asciiTheme="majorBidi" w:hAnsiTheme="majorBidi" w:cstheme="majorBidi"/>
        </w:rPr>
        <w:t>, “</w:t>
      </w:r>
      <w:proofErr w:type="spellStart"/>
      <w:r w:rsidRPr="00ED0B9F">
        <w:rPr>
          <w:rFonts w:asciiTheme="majorBidi" w:hAnsiTheme="majorBidi" w:cstheme="majorBidi"/>
        </w:rPr>
        <w:t>Poursuite</w:t>
      </w:r>
      <w:proofErr w:type="spellEnd"/>
      <w:r w:rsidRPr="00ED0B9F">
        <w:rPr>
          <w:rFonts w:asciiTheme="majorBidi" w:hAnsiTheme="majorBidi" w:cstheme="majorBidi"/>
        </w:rPr>
        <w:t xml:space="preserve"> des </w:t>
      </w:r>
      <w:proofErr w:type="spellStart"/>
      <w:r w:rsidRPr="00ED0B9F">
        <w:rPr>
          <w:rFonts w:asciiTheme="majorBidi" w:hAnsiTheme="majorBidi" w:cstheme="majorBidi"/>
        </w:rPr>
        <w:t>travaux</w:t>
      </w:r>
      <w:proofErr w:type="spellEnd"/>
      <w:r w:rsidRPr="00ED0B9F">
        <w:rPr>
          <w:rFonts w:asciiTheme="majorBidi" w:hAnsiTheme="majorBidi" w:cstheme="majorBidi"/>
        </w:rPr>
        <w:t xml:space="preserve"> de publication du materiel </w:t>
      </w:r>
      <w:proofErr w:type="spellStart"/>
      <w:r w:rsidRPr="00ED0B9F">
        <w:rPr>
          <w:rFonts w:asciiTheme="majorBidi" w:hAnsiTheme="majorBidi" w:cstheme="majorBidi"/>
        </w:rPr>
        <w:t>archéologique</w:t>
      </w:r>
      <w:proofErr w:type="spellEnd"/>
      <w:r w:rsidRPr="00ED0B9F">
        <w:rPr>
          <w:rFonts w:asciiTheme="majorBidi" w:hAnsiTheme="majorBidi" w:cstheme="majorBidi"/>
        </w:rPr>
        <w:t xml:space="preserve"> de Khirbet </w:t>
      </w:r>
      <w:proofErr w:type="spellStart"/>
      <w:r w:rsidRPr="00ED0B9F">
        <w:rPr>
          <w:rFonts w:asciiTheme="majorBidi" w:hAnsiTheme="majorBidi" w:cstheme="majorBidi"/>
        </w:rPr>
        <w:t>Qumrân</w:t>
      </w:r>
      <w:proofErr w:type="spellEnd"/>
      <w:r w:rsidRPr="00ED0B9F">
        <w:rPr>
          <w:rFonts w:asciiTheme="majorBidi" w:hAnsiTheme="majorBidi" w:cstheme="majorBidi"/>
        </w:rPr>
        <w:t xml:space="preserve">. Les </w:t>
      </w:r>
      <w:proofErr w:type="spellStart"/>
      <w:r w:rsidRPr="00ED0B9F">
        <w:rPr>
          <w:rFonts w:asciiTheme="majorBidi" w:hAnsiTheme="majorBidi" w:cstheme="majorBidi"/>
        </w:rPr>
        <w:t>lampes</w:t>
      </w:r>
      <w:proofErr w:type="spellEnd"/>
      <w:r w:rsidRPr="00ED0B9F">
        <w:rPr>
          <w:rFonts w:asciiTheme="majorBidi" w:hAnsiTheme="majorBidi" w:cstheme="majorBidi"/>
        </w:rPr>
        <w:t xml:space="preserve"> en </w:t>
      </w:r>
      <w:proofErr w:type="spellStart"/>
      <w:r w:rsidRPr="00ED0B9F">
        <w:rPr>
          <w:rFonts w:asciiTheme="majorBidi" w:hAnsiTheme="majorBidi" w:cstheme="majorBidi"/>
        </w:rPr>
        <w:t>terre-cuite</w:t>
      </w:r>
      <w:proofErr w:type="spellEnd"/>
      <w:r w:rsidRPr="00ED0B9F">
        <w:rPr>
          <w:rFonts w:asciiTheme="majorBidi" w:hAnsiTheme="majorBidi" w:cstheme="majorBidi"/>
        </w:rPr>
        <w:t xml:space="preserve">,” in </w:t>
      </w:r>
      <w:proofErr w:type="spellStart"/>
      <w:r w:rsidRPr="00ED0B9F">
        <w:rPr>
          <w:rFonts w:asciiTheme="majorBidi" w:hAnsiTheme="majorBidi" w:cstheme="majorBidi"/>
        </w:rPr>
        <w:t>Kapera</w:t>
      </w:r>
      <w:proofErr w:type="spellEnd"/>
      <w:r w:rsidRPr="00ED0B9F">
        <w:rPr>
          <w:rFonts w:asciiTheme="majorBidi" w:hAnsiTheme="majorBidi" w:cstheme="majorBidi"/>
        </w:rPr>
        <w:t xml:space="preserve"> 1998, 99 wrote: “locus 130 [. . .] </w:t>
      </w:r>
      <w:proofErr w:type="spellStart"/>
      <w:r w:rsidRPr="00ED0B9F">
        <w:rPr>
          <w:rFonts w:asciiTheme="majorBidi" w:hAnsiTheme="majorBidi" w:cstheme="majorBidi"/>
        </w:rPr>
        <w:t>d’où</w:t>
      </w:r>
      <w:proofErr w:type="spellEnd"/>
      <w:r w:rsidRPr="00ED0B9F">
        <w:rPr>
          <w:rFonts w:asciiTheme="majorBidi" w:hAnsiTheme="majorBidi" w:cstheme="majorBidi"/>
        </w:rPr>
        <w:t xml:space="preserve"> provident la </w:t>
      </w:r>
      <w:proofErr w:type="spellStart"/>
      <w:r w:rsidRPr="00ED0B9F">
        <w:rPr>
          <w:rFonts w:asciiTheme="majorBidi" w:hAnsiTheme="majorBidi" w:cstheme="majorBidi"/>
        </w:rPr>
        <w:t>majorité</w:t>
      </w:r>
      <w:proofErr w:type="spellEnd"/>
      <w:r w:rsidRPr="00ED0B9F">
        <w:rPr>
          <w:rFonts w:asciiTheme="majorBidi" w:hAnsiTheme="majorBidi" w:cstheme="majorBidi"/>
        </w:rPr>
        <w:t xml:space="preserve"> des inhumations </w:t>
      </w:r>
      <w:proofErr w:type="spellStart"/>
      <w:r w:rsidRPr="00ED0B9F">
        <w:rPr>
          <w:rFonts w:asciiTheme="majorBidi" w:hAnsiTheme="majorBidi" w:cstheme="majorBidi"/>
        </w:rPr>
        <w:t>d’ossements</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d’animaux</w:t>
      </w:r>
      <w:proofErr w:type="spellEnd"/>
      <w:r w:rsidRPr="00ED0B9F">
        <w:rPr>
          <w:rFonts w:asciiTheme="majorBidi" w:hAnsiTheme="majorBidi" w:cstheme="majorBidi"/>
        </w:rPr>
        <w:t xml:space="preserve"> en </w:t>
      </w:r>
      <w:proofErr w:type="spellStart"/>
      <w:r w:rsidRPr="00ED0B9F">
        <w:rPr>
          <w:rFonts w:asciiTheme="majorBidi" w:hAnsiTheme="majorBidi" w:cstheme="majorBidi"/>
        </w:rPr>
        <w:t>jarres</w:t>
      </w:r>
      <w:proofErr w:type="spellEnd"/>
      <w:r w:rsidRPr="00ED0B9F">
        <w:rPr>
          <w:rFonts w:asciiTheme="majorBidi" w:hAnsiTheme="majorBidi" w:cstheme="majorBidi"/>
        </w:rPr>
        <w:t xml:space="preserve"> [. . .] nous [. . .] </w:t>
      </w:r>
      <w:proofErr w:type="spellStart"/>
      <w:r w:rsidRPr="00ED0B9F">
        <w:rPr>
          <w:rFonts w:asciiTheme="majorBidi" w:hAnsiTheme="majorBidi" w:cstheme="majorBidi"/>
        </w:rPr>
        <w:t>sommes</w:t>
      </w:r>
      <w:proofErr w:type="spellEnd"/>
      <w:r w:rsidRPr="00ED0B9F">
        <w:rPr>
          <w:rFonts w:asciiTheme="majorBidi" w:hAnsiTheme="majorBidi" w:cstheme="majorBidi"/>
        </w:rPr>
        <w:t xml:space="preserve"> arrives à la </w:t>
      </w:r>
      <w:proofErr w:type="spellStart"/>
      <w:r w:rsidRPr="00ED0B9F">
        <w:rPr>
          <w:rFonts w:asciiTheme="majorBidi" w:hAnsiTheme="majorBidi" w:cstheme="majorBidi"/>
        </w:rPr>
        <w:t>concusion</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qu’aucune</w:t>
      </w:r>
      <w:proofErr w:type="spellEnd"/>
      <w:r w:rsidRPr="00ED0B9F">
        <w:rPr>
          <w:rFonts w:asciiTheme="majorBidi" w:hAnsiTheme="majorBidi" w:cstheme="majorBidi"/>
        </w:rPr>
        <w:t xml:space="preserve"> de </w:t>
      </w:r>
      <w:proofErr w:type="spellStart"/>
      <w:r w:rsidRPr="00ED0B9F">
        <w:rPr>
          <w:rFonts w:asciiTheme="majorBidi" w:hAnsiTheme="majorBidi" w:cstheme="majorBidi"/>
        </w:rPr>
        <w:t>ces</w:t>
      </w:r>
      <w:proofErr w:type="spellEnd"/>
      <w:r w:rsidRPr="00ED0B9F">
        <w:rPr>
          <w:rFonts w:asciiTheme="majorBidi" w:hAnsiTheme="majorBidi" w:cstheme="majorBidi"/>
        </w:rPr>
        <w:t xml:space="preserve"> depositions </w:t>
      </w:r>
      <w:proofErr w:type="spellStart"/>
      <w:r w:rsidRPr="00ED0B9F">
        <w:rPr>
          <w:rFonts w:asciiTheme="majorBidi" w:hAnsiTheme="majorBidi" w:cstheme="majorBidi"/>
        </w:rPr>
        <w:t>n’y</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est</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postérieure</w:t>
      </w:r>
      <w:proofErr w:type="spellEnd"/>
      <w:r w:rsidRPr="00ED0B9F">
        <w:rPr>
          <w:rFonts w:asciiTheme="majorBidi" w:hAnsiTheme="majorBidi" w:cstheme="majorBidi"/>
        </w:rPr>
        <w:t xml:space="preserve"> à la phase </w:t>
      </w:r>
      <w:proofErr w:type="spellStart"/>
      <w:r w:rsidRPr="00ED0B9F">
        <w:rPr>
          <w:rFonts w:asciiTheme="majorBidi" w:hAnsiTheme="majorBidi" w:cstheme="majorBidi"/>
        </w:rPr>
        <w:t>Ib</w:t>
      </w:r>
      <w:proofErr w:type="spellEnd"/>
      <w:r w:rsidRPr="00ED0B9F">
        <w:rPr>
          <w:rFonts w:asciiTheme="majorBidi" w:hAnsiTheme="majorBidi" w:cstheme="majorBidi"/>
        </w:rPr>
        <w:t xml:space="preserve"> du R.P. de Vaux”.</w:t>
      </w:r>
      <w:r w:rsidR="00A83CCA">
        <w:rPr>
          <w:rFonts w:asciiTheme="majorBidi" w:hAnsiTheme="majorBidi" w:cstheme="majorBidi"/>
        </w:rPr>
        <w:t xml:space="preserve"> [= “Locus 130 . . . which provides the majority of the burials of animal bones . . . we have arrived at the conclusion that none of these deposits were later than de Vaux’s Period </w:t>
      </w:r>
      <w:proofErr w:type="spellStart"/>
      <w:r w:rsidR="00A83CCA">
        <w:rPr>
          <w:rFonts w:asciiTheme="majorBidi" w:hAnsiTheme="majorBidi" w:cstheme="majorBidi"/>
        </w:rPr>
        <w:t>Ib</w:t>
      </w:r>
      <w:proofErr w:type="spellEnd"/>
      <w:r w:rsidR="00A83CCA">
        <w:rPr>
          <w:rFonts w:asciiTheme="majorBidi" w:hAnsiTheme="majorBidi" w:cstheme="majorBidi"/>
        </w:rPr>
        <w:t>”.]</w:t>
      </w:r>
    </w:p>
  </w:footnote>
  <w:footnote w:id="34">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In Bar-Nathan’s words: “In view of the absence of this bowl [J-BL5] from first-century C.E. contexts at Jericho, the dating of the material from Qumran Period II might have to be revised” (2002, 89).</w:t>
      </w:r>
    </w:p>
  </w:footnote>
  <w:footnote w:id="35">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r>
      <w:proofErr w:type="gramStart"/>
      <w:r w:rsidRPr="00ED0B9F">
        <w:rPr>
          <w:rFonts w:asciiTheme="majorBidi" w:hAnsiTheme="majorBidi" w:cstheme="majorBidi"/>
        </w:rPr>
        <w:t>See above, n. 4.</w:t>
      </w:r>
      <w:proofErr w:type="gramEnd"/>
    </w:p>
  </w:footnote>
  <w:footnote w:id="36">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F.M. Cross, “A New Qumran Biblical Fragment Related to the Original Hebrew Underlying the Septuagint.” </w:t>
      </w:r>
      <w:r w:rsidRPr="00ED0B9F">
        <w:rPr>
          <w:rFonts w:asciiTheme="majorBidi" w:hAnsiTheme="majorBidi" w:cstheme="majorBidi"/>
          <w:i/>
          <w:iCs/>
        </w:rPr>
        <w:t xml:space="preserve">BASOR </w:t>
      </w:r>
      <w:r w:rsidRPr="00ED0B9F">
        <w:rPr>
          <w:rFonts w:asciiTheme="majorBidi" w:hAnsiTheme="majorBidi" w:cstheme="majorBidi"/>
        </w:rPr>
        <w:t>132 (1953): 16.</w:t>
      </w:r>
    </w:p>
  </w:footnote>
  <w:footnote w:id="37">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F.M. Cross, “The Oldest Manuscripts from Qumran.” </w:t>
      </w:r>
      <w:r w:rsidRPr="00ED0B9F">
        <w:rPr>
          <w:rFonts w:asciiTheme="majorBidi" w:hAnsiTheme="majorBidi" w:cstheme="majorBidi"/>
          <w:i/>
          <w:iCs/>
        </w:rPr>
        <w:t xml:space="preserve">JBL </w:t>
      </w:r>
      <w:r w:rsidRPr="00ED0B9F">
        <w:rPr>
          <w:rFonts w:asciiTheme="majorBidi" w:hAnsiTheme="majorBidi" w:cstheme="majorBidi"/>
        </w:rPr>
        <w:t>74 (1955): 147-8.</w:t>
      </w:r>
    </w:p>
  </w:footnote>
  <w:footnote w:id="38">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r>
      <w:proofErr w:type="gramStart"/>
      <w:r w:rsidRPr="00ED0B9F">
        <w:rPr>
          <w:rFonts w:asciiTheme="majorBidi" w:hAnsiTheme="majorBidi" w:cstheme="majorBidi"/>
        </w:rPr>
        <w:t>According to F.M. Cross, “The Development of the Jewish Scripts.”</w:t>
      </w:r>
      <w:proofErr w:type="gramEnd"/>
      <w:r w:rsidRPr="00ED0B9F">
        <w:rPr>
          <w:rFonts w:asciiTheme="majorBidi" w:hAnsiTheme="majorBidi" w:cstheme="majorBidi"/>
        </w:rPr>
        <w:t xml:space="preserve"> In: </w:t>
      </w:r>
      <w:r w:rsidRPr="00ED0B9F">
        <w:rPr>
          <w:rFonts w:asciiTheme="majorBidi" w:hAnsiTheme="majorBidi" w:cstheme="majorBidi"/>
          <w:i/>
          <w:iCs/>
        </w:rPr>
        <w:t>The Bible and the Ancient Near East: Essays in Honor of W.F. Albright</w:t>
      </w:r>
      <w:r w:rsidRPr="00ED0B9F">
        <w:rPr>
          <w:rFonts w:asciiTheme="majorBidi" w:hAnsiTheme="majorBidi" w:cstheme="majorBidi"/>
        </w:rPr>
        <w:t xml:space="preserve"> (Edited by G.E. Wright; Garden City: Doubleday, 1961), 188: “A gap of considerable length must be posited between the latest of the </w:t>
      </w:r>
      <w:proofErr w:type="spellStart"/>
      <w:r w:rsidRPr="00ED0B9F">
        <w:rPr>
          <w:rFonts w:asciiTheme="majorBidi" w:hAnsiTheme="majorBidi" w:cstheme="majorBidi"/>
        </w:rPr>
        <w:t>semicursives</w:t>
      </w:r>
      <w:proofErr w:type="spellEnd"/>
      <w:r w:rsidRPr="00ED0B9F">
        <w:rPr>
          <w:rFonts w:asciiTheme="majorBidi" w:hAnsiTheme="majorBidi" w:cstheme="majorBidi"/>
        </w:rPr>
        <w:t xml:space="preserve"> of Qumran and the extant [non-Qumran] </w:t>
      </w:r>
      <w:proofErr w:type="spellStart"/>
      <w:r w:rsidRPr="00ED0B9F">
        <w:rPr>
          <w:rFonts w:asciiTheme="majorBidi" w:hAnsiTheme="majorBidi" w:cstheme="majorBidi"/>
        </w:rPr>
        <w:t>Herodian</w:t>
      </w:r>
      <w:proofErr w:type="spellEnd"/>
      <w:r w:rsidRPr="00ED0B9F">
        <w:rPr>
          <w:rFonts w:asciiTheme="majorBidi" w:hAnsiTheme="majorBidi" w:cstheme="majorBidi"/>
        </w:rPr>
        <w:t xml:space="preserve"> cursives and post-</w:t>
      </w:r>
      <w:proofErr w:type="spellStart"/>
      <w:r w:rsidRPr="00ED0B9F">
        <w:rPr>
          <w:rFonts w:asciiTheme="majorBidi" w:hAnsiTheme="majorBidi" w:cstheme="majorBidi"/>
        </w:rPr>
        <w:t>Herodian</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semicursives</w:t>
      </w:r>
      <w:proofErr w:type="spellEnd"/>
      <w:r w:rsidRPr="00ED0B9F">
        <w:rPr>
          <w:rFonts w:asciiTheme="majorBidi" w:hAnsiTheme="majorBidi" w:cstheme="majorBidi"/>
        </w:rPr>
        <w:t>”.</w:t>
      </w:r>
    </w:p>
  </w:footnote>
  <w:footnote w:id="39">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Regarding economic texts 4Q342-348, 4Q351-354, and 4Q356-360b, </w:t>
      </w:r>
      <w:proofErr w:type="spellStart"/>
      <w:r w:rsidRPr="00ED0B9F">
        <w:rPr>
          <w:rFonts w:asciiTheme="majorBidi" w:hAnsiTheme="majorBidi" w:cstheme="majorBidi"/>
        </w:rPr>
        <w:t>Yardeni</w:t>
      </w:r>
      <w:proofErr w:type="spellEnd"/>
      <w:r w:rsidRPr="00ED0B9F">
        <w:rPr>
          <w:rFonts w:asciiTheme="majorBidi" w:hAnsiTheme="majorBidi" w:cstheme="majorBidi"/>
        </w:rPr>
        <w:t xml:space="preserve"> concluded: “Despite their designation, it is unlikely that they came from Qumran Cave 4” (H.M. Cotton and A. </w:t>
      </w:r>
      <w:proofErr w:type="spellStart"/>
      <w:r w:rsidRPr="00ED0B9F">
        <w:rPr>
          <w:rFonts w:asciiTheme="majorBidi" w:hAnsiTheme="majorBidi" w:cstheme="majorBidi"/>
        </w:rPr>
        <w:t>Yardeni</w:t>
      </w:r>
      <w:proofErr w:type="spellEnd"/>
      <w:r w:rsidRPr="00ED0B9F">
        <w:rPr>
          <w:rFonts w:asciiTheme="majorBidi" w:hAnsiTheme="majorBidi" w:cstheme="majorBidi"/>
        </w:rPr>
        <w:t xml:space="preserve">, “General Introduction.” In: </w:t>
      </w:r>
      <w:r w:rsidRPr="00ED0B9F">
        <w:rPr>
          <w:rFonts w:asciiTheme="majorBidi" w:hAnsiTheme="majorBidi" w:cstheme="majorBidi"/>
          <w:i/>
          <w:iCs/>
        </w:rPr>
        <w:t xml:space="preserve">Aramaic, Hebrew and Greek Documentary Texts from </w:t>
      </w:r>
      <w:proofErr w:type="spellStart"/>
      <w:r w:rsidRPr="00ED0B9F">
        <w:rPr>
          <w:rFonts w:asciiTheme="majorBidi" w:hAnsiTheme="majorBidi" w:cstheme="majorBidi"/>
          <w:i/>
          <w:iCs/>
        </w:rPr>
        <w:t>Nahal</w:t>
      </w:r>
      <w:proofErr w:type="spellEnd"/>
      <w:r w:rsidRPr="00ED0B9F">
        <w:rPr>
          <w:rFonts w:asciiTheme="majorBidi" w:hAnsiTheme="majorBidi" w:cstheme="majorBidi"/>
          <w:i/>
          <w:iCs/>
        </w:rPr>
        <w:t xml:space="preserve"> </w:t>
      </w:r>
      <w:proofErr w:type="spellStart"/>
      <w:r w:rsidRPr="00ED0B9F">
        <w:rPr>
          <w:rFonts w:asciiTheme="majorBidi" w:hAnsiTheme="majorBidi" w:cstheme="majorBidi"/>
          <w:i/>
          <w:iCs/>
        </w:rPr>
        <w:t>Hever</w:t>
      </w:r>
      <w:proofErr w:type="spellEnd"/>
      <w:r w:rsidRPr="00ED0B9F">
        <w:rPr>
          <w:rFonts w:asciiTheme="majorBidi" w:hAnsiTheme="majorBidi" w:cstheme="majorBidi"/>
          <w:i/>
          <w:iCs/>
        </w:rPr>
        <w:t xml:space="preserve"> and Other Sites</w:t>
      </w:r>
      <w:r w:rsidRPr="00ED0B9F">
        <w:rPr>
          <w:rFonts w:asciiTheme="majorBidi" w:hAnsiTheme="majorBidi" w:cstheme="majorBidi"/>
        </w:rPr>
        <w:t xml:space="preserve">. DJD 27 [Edited by H.M. Cotton and A. </w:t>
      </w:r>
      <w:proofErr w:type="spellStart"/>
      <w:r w:rsidRPr="00ED0B9F">
        <w:rPr>
          <w:rFonts w:asciiTheme="majorBidi" w:hAnsiTheme="majorBidi" w:cstheme="majorBidi"/>
        </w:rPr>
        <w:t>Yardeni</w:t>
      </w:r>
      <w:proofErr w:type="spellEnd"/>
      <w:r w:rsidRPr="00ED0B9F">
        <w:rPr>
          <w:rFonts w:asciiTheme="majorBidi" w:hAnsiTheme="majorBidi" w:cstheme="majorBidi"/>
        </w:rPr>
        <w:t xml:space="preserve">; Oxford: Clarendon, 1997], 6and 283-4). </w:t>
      </w:r>
      <w:proofErr w:type="spellStart"/>
      <w:r w:rsidRPr="00ED0B9F">
        <w:rPr>
          <w:rFonts w:asciiTheme="majorBidi" w:hAnsiTheme="majorBidi" w:cstheme="majorBidi"/>
        </w:rPr>
        <w:t>Yardeni</w:t>
      </w:r>
      <w:proofErr w:type="spellEnd"/>
      <w:r w:rsidRPr="00ED0B9F">
        <w:rPr>
          <w:rFonts w:asciiTheme="majorBidi" w:hAnsiTheme="majorBidi" w:cstheme="majorBidi"/>
        </w:rPr>
        <w:t xml:space="preserve"> adds, “The cursive script utilized in these texts sets them apart from the other Qumran manuscripts” (</w:t>
      </w:r>
      <w:proofErr w:type="gramStart"/>
      <w:r w:rsidRPr="00ED0B9F">
        <w:rPr>
          <w:rFonts w:asciiTheme="majorBidi" w:hAnsiTheme="majorBidi" w:cstheme="majorBidi"/>
        </w:rPr>
        <w:t>ibid.,</w:t>
      </w:r>
      <w:proofErr w:type="gramEnd"/>
      <w:r w:rsidRPr="00ED0B9F">
        <w:rPr>
          <w:rFonts w:asciiTheme="majorBidi" w:hAnsiTheme="majorBidi" w:cstheme="majorBidi"/>
        </w:rPr>
        <w:t xml:space="preserve"> 283).</w:t>
      </w:r>
    </w:p>
  </w:footnote>
  <w:footnote w:id="40">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Cross 1961a, 190 </w:t>
      </w:r>
      <w:proofErr w:type="gramStart"/>
      <w:r w:rsidRPr="00ED0B9F">
        <w:rPr>
          <w:rFonts w:asciiTheme="majorBidi" w:hAnsiTheme="majorBidi" w:cstheme="majorBidi"/>
        </w:rPr>
        <w:t>note</w:t>
      </w:r>
      <w:proofErr w:type="gramEnd"/>
      <w:r w:rsidRPr="00ED0B9F">
        <w:rPr>
          <w:rFonts w:asciiTheme="majorBidi" w:hAnsiTheme="majorBidi" w:cstheme="majorBidi"/>
        </w:rPr>
        <w:t xml:space="preserve"> 9.</w:t>
      </w:r>
    </w:p>
  </w:footnote>
  <w:footnote w:id="41">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r>
      <w:proofErr w:type="gramStart"/>
      <w:r w:rsidRPr="00ED0B9F">
        <w:rPr>
          <w:rFonts w:asciiTheme="majorBidi" w:hAnsiTheme="majorBidi" w:cstheme="majorBidi"/>
        </w:rPr>
        <w:t>Bar-Nathan 2002, 89.</w:t>
      </w:r>
      <w:proofErr w:type="gramEnd"/>
    </w:p>
  </w:footnote>
  <w:footnote w:id="42">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E.g. </w:t>
      </w:r>
      <w:proofErr w:type="spellStart"/>
      <w:r w:rsidRPr="00ED0B9F">
        <w:rPr>
          <w:rFonts w:asciiTheme="majorBidi" w:hAnsiTheme="majorBidi" w:cstheme="majorBidi"/>
        </w:rPr>
        <w:t>Magness</w:t>
      </w:r>
      <w:proofErr w:type="spellEnd"/>
      <w:r w:rsidRPr="00ED0B9F">
        <w:rPr>
          <w:rFonts w:asciiTheme="majorBidi" w:hAnsiTheme="majorBidi" w:cstheme="majorBidi"/>
        </w:rPr>
        <w:t xml:space="preserve"> 2002, 10: “[R]</w:t>
      </w:r>
      <w:proofErr w:type="spellStart"/>
      <w:r w:rsidRPr="00ED0B9F">
        <w:rPr>
          <w:rFonts w:asciiTheme="majorBidi" w:hAnsiTheme="majorBidi" w:cstheme="majorBidi"/>
        </w:rPr>
        <w:t>adiocarbon</w:t>
      </w:r>
      <w:proofErr w:type="spellEnd"/>
      <w:r w:rsidRPr="00ED0B9F">
        <w:rPr>
          <w:rFonts w:asciiTheme="majorBidi" w:hAnsiTheme="majorBidi" w:cstheme="majorBidi"/>
        </w:rPr>
        <w:t xml:space="preserve"> dating confirmed the 2</w:t>
      </w:r>
      <w:r w:rsidRPr="00ED0B9F">
        <w:rPr>
          <w:rFonts w:asciiTheme="majorBidi" w:hAnsiTheme="majorBidi" w:cstheme="majorBidi"/>
          <w:vertAlign w:val="superscript"/>
        </w:rPr>
        <w:t>nd</w:t>
      </w:r>
      <w:r w:rsidRPr="00ED0B9F">
        <w:rPr>
          <w:rFonts w:asciiTheme="majorBidi" w:hAnsiTheme="majorBidi" w:cstheme="majorBidi"/>
        </w:rPr>
        <w:t xml:space="preserve"> century B.C.E. to first century C.E. date that paleographers (specialists in ancient handwriting styles) had already suggested for the scrolls (a date consistent with the pottery types found with the scrolls in the caves)”.</w:t>
      </w:r>
    </w:p>
  </w:footnote>
  <w:footnote w:id="43">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See below, note 45.</w:t>
      </w:r>
    </w:p>
  </w:footnote>
  <w:footnote w:id="44">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G. </w:t>
      </w:r>
      <w:proofErr w:type="spellStart"/>
      <w:r w:rsidRPr="00ED0B9F">
        <w:rPr>
          <w:rFonts w:asciiTheme="majorBidi" w:hAnsiTheme="majorBidi" w:cstheme="majorBidi"/>
        </w:rPr>
        <w:t>Doudna</w:t>
      </w:r>
      <w:proofErr w:type="spellEnd"/>
      <w:r w:rsidRPr="00ED0B9F">
        <w:rPr>
          <w:rFonts w:asciiTheme="majorBidi" w:hAnsiTheme="majorBidi" w:cstheme="majorBidi"/>
        </w:rPr>
        <w:t xml:space="preserve">, “Dating the Scrolls on the Basis of Radiocarbon Analysis.” In: </w:t>
      </w:r>
      <w:r w:rsidRPr="00ED0B9F">
        <w:rPr>
          <w:rFonts w:asciiTheme="majorBidi" w:hAnsiTheme="majorBidi" w:cstheme="majorBidi"/>
          <w:i/>
          <w:iCs/>
        </w:rPr>
        <w:t xml:space="preserve">The Dead Sea Scrolls after Fifty Years </w:t>
      </w:r>
      <w:r w:rsidRPr="00ED0B9F">
        <w:rPr>
          <w:rFonts w:asciiTheme="majorBidi" w:hAnsiTheme="majorBidi" w:cstheme="majorBidi"/>
        </w:rPr>
        <w:t xml:space="preserve">(Edited by P. Flint and J. </w:t>
      </w:r>
      <w:proofErr w:type="spellStart"/>
      <w:r w:rsidRPr="00ED0B9F">
        <w:rPr>
          <w:rFonts w:asciiTheme="majorBidi" w:hAnsiTheme="majorBidi" w:cstheme="majorBidi"/>
        </w:rPr>
        <w:t>VanderKam</w:t>
      </w:r>
      <w:proofErr w:type="spellEnd"/>
      <w:r w:rsidRPr="00ED0B9F">
        <w:rPr>
          <w:rFonts w:asciiTheme="majorBidi" w:hAnsiTheme="majorBidi" w:cstheme="majorBidi"/>
        </w:rPr>
        <w:t>; Leiden: Brill, 1998), I: 430-71 (here 453-6 and 471).</w:t>
      </w:r>
    </w:p>
  </w:footnote>
  <w:footnote w:id="45">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A first radiocarbon date for a Qumran text characterized as late </w:t>
      </w:r>
      <w:proofErr w:type="spellStart"/>
      <w:r w:rsidRPr="00ED0B9F">
        <w:rPr>
          <w:rFonts w:asciiTheme="majorBidi" w:hAnsiTheme="majorBidi" w:cstheme="majorBidi"/>
        </w:rPr>
        <w:t>Herodian</w:t>
      </w:r>
      <w:proofErr w:type="spellEnd"/>
      <w:r w:rsidRPr="00ED0B9F">
        <w:rPr>
          <w:rFonts w:asciiTheme="majorBidi" w:hAnsiTheme="majorBidi" w:cstheme="majorBidi"/>
        </w:rPr>
        <w:t xml:space="preserve"> formal is now published in </w:t>
      </w:r>
      <w:r w:rsidRPr="00ED0B9F">
        <w:rPr>
          <w:rFonts w:asciiTheme="majorBidi" w:hAnsiTheme="majorBidi" w:cstheme="majorBidi"/>
          <w:i/>
          <w:iCs/>
        </w:rPr>
        <w:t xml:space="preserve">Miscellaneous Texts from the </w:t>
      </w:r>
      <w:proofErr w:type="spellStart"/>
      <w:r w:rsidRPr="00ED0B9F">
        <w:rPr>
          <w:rFonts w:asciiTheme="majorBidi" w:hAnsiTheme="majorBidi" w:cstheme="majorBidi"/>
          <w:i/>
          <w:iCs/>
        </w:rPr>
        <w:t>Judaean</w:t>
      </w:r>
      <w:proofErr w:type="spellEnd"/>
      <w:r w:rsidRPr="00ED0B9F">
        <w:rPr>
          <w:rFonts w:asciiTheme="majorBidi" w:hAnsiTheme="majorBidi" w:cstheme="majorBidi"/>
          <w:i/>
          <w:iCs/>
        </w:rPr>
        <w:t xml:space="preserve"> Desert</w:t>
      </w:r>
      <w:r w:rsidRPr="00ED0B9F">
        <w:rPr>
          <w:rFonts w:asciiTheme="majorBidi" w:hAnsiTheme="majorBidi" w:cstheme="majorBidi"/>
        </w:rPr>
        <w:t xml:space="preserve">. DJD 38 (Edited by J.H. </w:t>
      </w:r>
      <w:proofErr w:type="spellStart"/>
      <w:r w:rsidRPr="00ED0B9F">
        <w:rPr>
          <w:rFonts w:asciiTheme="majorBidi" w:hAnsiTheme="majorBidi" w:cstheme="majorBidi"/>
        </w:rPr>
        <w:t>Charlesworth</w:t>
      </w:r>
      <w:proofErr w:type="spellEnd"/>
      <w:r w:rsidRPr="00ED0B9F">
        <w:rPr>
          <w:rFonts w:asciiTheme="majorBidi" w:hAnsiTheme="majorBidi" w:cstheme="majorBidi"/>
        </w:rPr>
        <w:t xml:space="preserve"> et al.; Oxford: Clarendon, 2000). The text, </w:t>
      </w:r>
      <w:proofErr w:type="spellStart"/>
      <w:r w:rsidRPr="00ED0B9F">
        <w:rPr>
          <w:rFonts w:asciiTheme="majorBidi" w:hAnsiTheme="majorBidi" w:cstheme="majorBidi"/>
        </w:rPr>
        <w:t>XJoshua</w:t>
      </w:r>
      <w:proofErr w:type="spellEnd"/>
      <w:r w:rsidRPr="00ED0B9F">
        <w:rPr>
          <w:rFonts w:asciiTheme="majorBidi" w:hAnsiTheme="majorBidi" w:cstheme="majorBidi"/>
        </w:rPr>
        <w:t xml:space="preserve"> (believed to be from Qumran), is described by its editor as “an example of the Late </w:t>
      </w:r>
      <w:proofErr w:type="spellStart"/>
      <w:r w:rsidRPr="00ED0B9F">
        <w:rPr>
          <w:rFonts w:asciiTheme="majorBidi" w:hAnsiTheme="majorBidi" w:cstheme="majorBidi"/>
        </w:rPr>
        <w:t>Herodian</w:t>
      </w:r>
      <w:proofErr w:type="spellEnd"/>
      <w:r w:rsidRPr="00ED0B9F">
        <w:rPr>
          <w:rFonts w:asciiTheme="majorBidi" w:hAnsiTheme="majorBidi" w:cstheme="majorBidi"/>
        </w:rPr>
        <w:t xml:space="preserve"> formal </w:t>
      </w:r>
      <w:proofErr w:type="spellStart"/>
      <w:r w:rsidRPr="00ED0B9F">
        <w:rPr>
          <w:rFonts w:asciiTheme="majorBidi" w:hAnsiTheme="majorBidi" w:cstheme="majorBidi"/>
        </w:rPr>
        <w:t>bookhand</w:t>
      </w:r>
      <w:proofErr w:type="spellEnd"/>
      <w:r w:rsidRPr="00ED0B9F">
        <w:rPr>
          <w:rFonts w:asciiTheme="majorBidi" w:hAnsiTheme="majorBidi" w:cstheme="majorBidi"/>
        </w:rPr>
        <w:t>” (</w:t>
      </w:r>
      <w:proofErr w:type="gramStart"/>
      <w:r w:rsidRPr="00ED0B9F">
        <w:rPr>
          <w:rFonts w:asciiTheme="majorBidi" w:hAnsiTheme="majorBidi" w:cstheme="majorBidi"/>
        </w:rPr>
        <w:t>ibid.,</w:t>
      </w:r>
      <w:proofErr w:type="gramEnd"/>
      <w:r w:rsidRPr="00ED0B9F">
        <w:rPr>
          <w:rFonts w:asciiTheme="majorBidi" w:hAnsiTheme="majorBidi" w:cstheme="majorBidi"/>
        </w:rPr>
        <w:t xml:space="preserve"> 232-4). The radiocarbon date for </w:t>
      </w:r>
      <w:proofErr w:type="spellStart"/>
      <w:r w:rsidRPr="00ED0B9F">
        <w:rPr>
          <w:rFonts w:asciiTheme="majorBidi" w:hAnsiTheme="majorBidi" w:cstheme="majorBidi"/>
        </w:rPr>
        <w:t>XJoshua</w:t>
      </w:r>
      <w:proofErr w:type="spellEnd"/>
      <w:r w:rsidRPr="00ED0B9F">
        <w:rPr>
          <w:rFonts w:asciiTheme="majorBidi" w:hAnsiTheme="majorBidi" w:cstheme="majorBidi"/>
        </w:rPr>
        <w:t xml:space="preserve"> is reported as 160 B.C.E.-73 C.E. at 95% confidence </w:t>
      </w:r>
      <w:proofErr w:type="gramStart"/>
      <w:r w:rsidRPr="00ED0B9F">
        <w:rPr>
          <w:rFonts w:asciiTheme="majorBidi" w:hAnsiTheme="majorBidi" w:cstheme="majorBidi"/>
        </w:rPr>
        <w:t>(as 86 B.C.E.-49 C.E. at 68% confidence)</w:t>
      </w:r>
      <w:proofErr w:type="gramEnd"/>
      <w:r w:rsidRPr="00ED0B9F">
        <w:rPr>
          <w:rFonts w:asciiTheme="majorBidi" w:hAnsiTheme="majorBidi" w:cstheme="majorBidi"/>
        </w:rPr>
        <w:t>.</w:t>
      </w:r>
    </w:p>
  </w:footnote>
  <w:footnote w:id="46">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E.g. H. </w:t>
      </w:r>
      <w:proofErr w:type="spellStart"/>
      <w:r w:rsidRPr="00ED0B9F">
        <w:rPr>
          <w:rFonts w:asciiTheme="majorBidi" w:hAnsiTheme="majorBidi" w:cstheme="majorBidi"/>
        </w:rPr>
        <w:t>Stegemann</w:t>
      </w:r>
      <w:proofErr w:type="spellEnd"/>
      <w:r w:rsidRPr="00ED0B9F">
        <w:rPr>
          <w:rFonts w:asciiTheme="majorBidi" w:hAnsiTheme="majorBidi" w:cstheme="majorBidi"/>
        </w:rPr>
        <w:t xml:space="preserve">, </w:t>
      </w:r>
      <w:r w:rsidRPr="00ED0B9F">
        <w:rPr>
          <w:rFonts w:asciiTheme="majorBidi" w:hAnsiTheme="majorBidi" w:cstheme="majorBidi"/>
          <w:i/>
          <w:iCs/>
        </w:rPr>
        <w:t>The Library of Qumran</w:t>
      </w:r>
      <w:r w:rsidRPr="00ED0B9F">
        <w:rPr>
          <w:rFonts w:asciiTheme="majorBidi" w:hAnsiTheme="majorBidi" w:cstheme="majorBidi"/>
        </w:rPr>
        <w:t xml:space="preserve"> (Grand Rapids: </w:t>
      </w:r>
      <w:proofErr w:type="spellStart"/>
      <w:r w:rsidRPr="00ED0B9F">
        <w:rPr>
          <w:rFonts w:asciiTheme="majorBidi" w:hAnsiTheme="majorBidi" w:cstheme="majorBidi"/>
        </w:rPr>
        <w:t>Eerdmans</w:t>
      </w:r>
      <w:proofErr w:type="spellEnd"/>
      <w:r w:rsidRPr="00ED0B9F">
        <w:rPr>
          <w:rFonts w:asciiTheme="majorBidi" w:hAnsiTheme="majorBidi" w:cstheme="majorBidi"/>
        </w:rPr>
        <w:t xml:space="preserve">, 1998), 137: “[I]t is still surprising that, among all the "[I]t is still surprising that, among all the rich Qumran finds, there seems to be not a single </w:t>
      </w:r>
      <w:proofErr w:type="spellStart"/>
      <w:r w:rsidRPr="00ED0B9F">
        <w:rPr>
          <w:rFonts w:asciiTheme="majorBidi" w:hAnsiTheme="majorBidi" w:cstheme="majorBidi"/>
        </w:rPr>
        <w:t>Essene</w:t>
      </w:r>
      <w:proofErr w:type="spellEnd"/>
      <w:r w:rsidRPr="00ED0B9F">
        <w:rPr>
          <w:rFonts w:asciiTheme="majorBidi" w:hAnsiTheme="majorBidi" w:cstheme="majorBidi"/>
        </w:rPr>
        <w:t xml:space="preserve"> work that we can prove to have been composed only after the middle of the first century B.C. [. . .] From that time forward, they concentrated essentially, perhaps even entirely, on the biblical writings, on other works of pre-</w:t>
      </w:r>
      <w:proofErr w:type="spellStart"/>
      <w:r w:rsidRPr="00ED0B9F">
        <w:rPr>
          <w:rFonts w:asciiTheme="majorBidi" w:hAnsiTheme="majorBidi" w:cstheme="majorBidi"/>
        </w:rPr>
        <w:t>Essene</w:t>
      </w:r>
      <w:proofErr w:type="spellEnd"/>
      <w:r w:rsidRPr="00ED0B9F">
        <w:rPr>
          <w:rFonts w:asciiTheme="majorBidi" w:hAnsiTheme="majorBidi" w:cstheme="majorBidi"/>
        </w:rPr>
        <w:t xml:space="preserve"> tradition, and on writings of their own that they had already produced, studying and copying these again and again, but neither revising their contents nor expanding or abridging them."</w:t>
      </w:r>
    </w:p>
  </w:footnote>
  <w:footnote w:id="47">
    <w:p w:rsidR="00444F86" w:rsidRPr="00ED0B9F" w:rsidRDefault="00444F86">
      <w:pPr>
        <w:pStyle w:val="FootnoteText"/>
        <w:rPr>
          <w:rFonts w:asciiTheme="majorBidi" w:hAnsiTheme="majorBidi" w:cstheme="majorBidi"/>
        </w:rPr>
      </w:pPr>
      <w:r w:rsidRPr="00ED0B9F">
        <w:rPr>
          <w:rStyle w:val="FootnoteReference"/>
          <w:rFonts w:asciiTheme="majorBidi" w:hAnsiTheme="majorBidi" w:cstheme="majorBidi"/>
        </w:rPr>
        <w:footnoteRef/>
      </w:r>
      <w:r w:rsidRPr="00ED0B9F">
        <w:rPr>
          <w:rFonts w:asciiTheme="majorBidi" w:hAnsiTheme="majorBidi" w:cstheme="majorBidi"/>
        </w:rPr>
        <w:t xml:space="preserve"> </w:t>
      </w:r>
      <w:r w:rsidRPr="00ED0B9F">
        <w:rPr>
          <w:rFonts w:asciiTheme="majorBidi" w:hAnsiTheme="majorBidi" w:cstheme="majorBidi"/>
        </w:rPr>
        <w:tab/>
        <w:t xml:space="preserve">I. Young, "The Stabilization of the Biblical Text in the Light of Qumran and Masada: A Challenge for Conventional Qumran Chronology?" </w:t>
      </w:r>
      <w:r w:rsidRPr="00ED0B9F">
        <w:rPr>
          <w:rStyle w:val="Emphasis"/>
          <w:rFonts w:asciiTheme="majorBidi" w:hAnsiTheme="majorBidi" w:cstheme="majorBidi"/>
        </w:rPr>
        <w:t>DSD [Dead Sea Discoveries]</w:t>
      </w:r>
      <w:r w:rsidRPr="00ED0B9F">
        <w:rPr>
          <w:rFonts w:asciiTheme="majorBidi" w:hAnsiTheme="majorBidi" w:cstheme="majorBidi"/>
        </w:rPr>
        <w:t xml:space="preserve"> 9 (2002): 364-90. S. </w:t>
      </w:r>
      <w:proofErr w:type="spellStart"/>
      <w:r w:rsidRPr="00ED0B9F">
        <w:rPr>
          <w:rFonts w:asciiTheme="majorBidi" w:hAnsiTheme="majorBidi" w:cstheme="majorBidi"/>
        </w:rPr>
        <w:t>Talmon</w:t>
      </w:r>
      <w:proofErr w:type="spellEnd"/>
      <w:r w:rsidRPr="00ED0B9F">
        <w:rPr>
          <w:rFonts w:asciiTheme="majorBidi" w:hAnsiTheme="majorBidi" w:cstheme="majorBidi"/>
        </w:rPr>
        <w:t xml:space="preserve"> writes: "[T]he Masada biblical fragments witness to the existence of a stabilized proto-</w:t>
      </w:r>
      <w:proofErr w:type="spellStart"/>
      <w:r w:rsidRPr="00ED0B9F">
        <w:rPr>
          <w:rFonts w:asciiTheme="majorBidi" w:hAnsiTheme="majorBidi" w:cstheme="majorBidi"/>
        </w:rPr>
        <w:t>massoretic</w:t>
      </w:r>
      <w:proofErr w:type="spellEnd"/>
      <w:r w:rsidRPr="00ED0B9F">
        <w:rPr>
          <w:rFonts w:asciiTheme="majorBidi" w:hAnsiTheme="majorBidi" w:cstheme="majorBidi"/>
        </w:rPr>
        <w:t xml:space="preserve"> textual tradition. [. . .] In contrast, the textual fluidity, which can be observed in the Qumran scrolls and fragments of biblical books and bible-related works, which stem from the last centuries B.C.E., proves that these manuscripts were not subjected to such a stabilizing process", see "Hebrew Fragments from Masada." In: </w:t>
      </w:r>
      <w:r w:rsidRPr="00ED0B9F">
        <w:rPr>
          <w:rStyle w:val="Emphasis"/>
          <w:rFonts w:asciiTheme="majorBidi" w:hAnsiTheme="majorBidi" w:cstheme="majorBidi"/>
        </w:rPr>
        <w:t xml:space="preserve">Masada: The </w:t>
      </w:r>
      <w:proofErr w:type="spellStart"/>
      <w:r w:rsidRPr="00ED0B9F">
        <w:rPr>
          <w:rStyle w:val="Emphasis"/>
          <w:rFonts w:asciiTheme="majorBidi" w:hAnsiTheme="majorBidi" w:cstheme="majorBidi"/>
        </w:rPr>
        <w:t>Yigael</w:t>
      </w:r>
      <w:proofErr w:type="spellEnd"/>
      <w:r w:rsidRPr="00ED0B9F">
        <w:rPr>
          <w:rStyle w:val="Emphasis"/>
          <w:rFonts w:asciiTheme="majorBidi" w:hAnsiTheme="majorBidi" w:cstheme="majorBidi"/>
        </w:rPr>
        <w:t xml:space="preserve"> </w:t>
      </w:r>
      <w:proofErr w:type="spellStart"/>
      <w:r w:rsidRPr="00ED0B9F">
        <w:rPr>
          <w:rStyle w:val="Emphasis"/>
          <w:rFonts w:asciiTheme="majorBidi" w:hAnsiTheme="majorBidi" w:cstheme="majorBidi"/>
        </w:rPr>
        <w:t>Yadin</w:t>
      </w:r>
      <w:proofErr w:type="spellEnd"/>
      <w:r w:rsidRPr="00ED0B9F">
        <w:rPr>
          <w:rStyle w:val="Emphasis"/>
          <w:rFonts w:asciiTheme="majorBidi" w:hAnsiTheme="majorBidi" w:cstheme="majorBidi"/>
        </w:rPr>
        <w:t xml:space="preserve"> Excavations 1963-1965. </w:t>
      </w:r>
      <w:proofErr w:type="gramStart"/>
      <w:r w:rsidRPr="00ED0B9F">
        <w:rPr>
          <w:rStyle w:val="Emphasis"/>
          <w:rFonts w:asciiTheme="majorBidi" w:hAnsiTheme="majorBidi" w:cstheme="majorBidi"/>
        </w:rPr>
        <w:t>Final Reports.</w:t>
      </w:r>
      <w:proofErr w:type="gramEnd"/>
      <w:r w:rsidRPr="00ED0B9F">
        <w:rPr>
          <w:rStyle w:val="Emphasis"/>
          <w:rFonts w:asciiTheme="majorBidi" w:hAnsiTheme="majorBidi" w:cstheme="majorBidi"/>
        </w:rPr>
        <w:t xml:space="preserve"> </w:t>
      </w:r>
      <w:proofErr w:type="gramStart"/>
      <w:r w:rsidRPr="00ED0B9F">
        <w:rPr>
          <w:rStyle w:val="Emphasis"/>
          <w:rFonts w:asciiTheme="majorBidi" w:hAnsiTheme="majorBidi" w:cstheme="majorBidi"/>
        </w:rPr>
        <w:t xml:space="preserve">Vol. 6 </w:t>
      </w:r>
      <w:r w:rsidRPr="00ED0B9F">
        <w:rPr>
          <w:rFonts w:asciiTheme="majorBidi" w:hAnsiTheme="majorBidi" w:cstheme="majorBidi"/>
        </w:rPr>
        <w:t xml:space="preserve">(Edited by J. </w:t>
      </w:r>
      <w:proofErr w:type="spellStart"/>
      <w:r w:rsidRPr="00ED0B9F">
        <w:rPr>
          <w:rFonts w:asciiTheme="majorBidi" w:hAnsiTheme="majorBidi" w:cstheme="majorBidi"/>
        </w:rPr>
        <w:t>Aviram</w:t>
      </w:r>
      <w:proofErr w:type="spellEnd"/>
      <w:r w:rsidRPr="00ED0B9F">
        <w:rPr>
          <w:rFonts w:asciiTheme="majorBidi" w:hAnsiTheme="majorBidi" w:cstheme="majorBidi"/>
        </w:rPr>
        <w:t xml:space="preserve">, G. </w:t>
      </w:r>
      <w:proofErr w:type="spellStart"/>
      <w:r w:rsidRPr="00ED0B9F">
        <w:rPr>
          <w:rFonts w:asciiTheme="majorBidi" w:hAnsiTheme="majorBidi" w:cstheme="majorBidi"/>
        </w:rPr>
        <w:t>Foerster</w:t>
      </w:r>
      <w:proofErr w:type="spellEnd"/>
      <w:r w:rsidRPr="00ED0B9F">
        <w:rPr>
          <w:rFonts w:asciiTheme="majorBidi" w:hAnsiTheme="majorBidi" w:cstheme="majorBidi"/>
        </w:rPr>
        <w:t xml:space="preserve"> and E. </w:t>
      </w:r>
      <w:proofErr w:type="spellStart"/>
      <w:r w:rsidRPr="00ED0B9F">
        <w:rPr>
          <w:rFonts w:asciiTheme="majorBidi" w:hAnsiTheme="majorBidi" w:cstheme="majorBidi"/>
        </w:rPr>
        <w:t>Netzer</w:t>
      </w:r>
      <w:proofErr w:type="spellEnd"/>
      <w:r w:rsidRPr="00ED0B9F">
        <w:rPr>
          <w:rFonts w:asciiTheme="majorBidi" w:hAnsiTheme="majorBidi" w:cstheme="majorBidi"/>
        </w:rPr>
        <w:t>; Jerusalem: Israel Exploration Society, 1999), 25.</w:t>
      </w:r>
      <w:proofErr w:type="gramEnd"/>
      <w:r w:rsidRPr="00ED0B9F">
        <w:rPr>
          <w:rFonts w:asciiTheme="majorBidi" w:hAnsiTheme="majorBidi" w:cstheme="majorBidi"/>
        </w:rPr>
        <w:t xml:space="preserve"> E. </w:t>
      </w:r>
      <w:proofErr w:type="spellStart"/>
      <w:r w:rsidRPr="00ED0B9F">
        <w:rPr>
          <w:rFonts w:asciiTheme="majorBidi" w:hAnsiTheme="majorBidi" w:cstheme="majorBidi"/>
        </w:rPr>
        <w:t>Tov</w:t>
      </w:r>
      <w:proofErr w:type="spellEnd"/>
      <w:r w:rsidRPr="00ED0B9F">
        <w:rPr>
          <w:rFonts w:asciiTheme="majorBidi" w:hAnsiTheme="majorBidi" w:cstheme="majorBidi"/>
        </w:rPr>
        <w:t xml:space="preserve"> states: "Les </w:t>
      </w:r>
      <w:proofErr w:type="spellStart"/>
      <w:r w:rsidRPr="00ED0B9F">
        <w:rPr>
          <w:rFonts w:asciiTheme="majorBidi" w:hAnsiTheme="majorBidi" w:cstheme="majorBidi"/>
        </w:rPr>
        <w:t>textes</w:t>
      </w:r>
      <w:proofErr w:type="spellEnd"/>
      <w:r w:rsidRPr="00ED0B9F">
        <w:rPr>
          <w:rFonts w:asciiTheme="majorBidi" w:hAnsiTheme="majorBidi" w:cstheme="majorBidi"/>
        </w:rPr>
        <w:t xml:space="preserve"> de </w:t>
      </w:r>
      <w:proofErr w:type="spellStart"/>
      <w:r w:rsidRPr="00ED0B9F">
        <w:rPr>
          <w:rFonts w:asciiTheme="majorBidi" w:hAnsiTheme="majorBidi" w:cstheme="majorBidi"/>
        </w:rPr>
        <w:t>ces</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trois</w:t>
      </w:r>
      <w:proofErr w:type="spellEnd"/>
      <w:r w:rsidRPr="00ED0B9F">
        <w:rPr>
          <w:rFonts w:asciiTheme="majorBidi" w:hAnsiTheme="majorBidi" w:cstheme="majorBidi"/>
        </w:rPr>
        <w:t xml:space="preserve"> sites [</w:t>
      </w:r>
      <w:proofErr w:type="spellStart"/>
      <w:r w:rsidRPr="00ED0B9F">
        <w:rPr>
          <w:rFonts w:asciiTheme="majorBidi" w:hAnsiTheme="majorBidi" w:cstheme="majorBidi"/>
        </w:rPr>
        <w:t>Nahal</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Hever</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Murabba'at</w:t>
      </w:r>
      <w:proofErr w:type="spellEnd"/>
      <w:r w:rsidRPr="00ED0B9F">
        <w:rPr>
          <w:rFonts w:asciiTheme="majorBidi" w:hAnsiTheme="majorBidi" w:cstheme="majorBidi"/>
        </w:rPr>
        <w:t xml:space="preserve">, Masada] </w:t>
      </w:r>
      <w:proofErr w:type="spellStart"/>
      <w:r w:rsidRPr="00ED0B9F">
        <w:rPr>
          <w:rFonts w:asciiTheme="majorBidi" w:hAnsiTheme="majorBidi" w:cstheme="majorBidi"/>
        </w:rPr>
        <w:t>sont</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ainsi</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presque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identiques</w:t>
      </w:r>
      <w:proofErr w:type="spellEnd"/>
      <w:r w:rsidRPr="00ED0B9F">
        <w:rPr>
          <w:rFonts w:asciiTheme="majorBidi" w:hAnsiTheme="majorBidi" w:cstheme="majorBidi"/>
        </w:rPr>
        <w:t xml:space="preserve"> au </w:t>
      </w:r>
      <w:proofErr w:type="spellStart"/>
      <w:r w:rsidRPr="00ED0B9F">
        <w:rPr>
          <w:rFonts w:asciiTheme="majorBidi" w:hAnsiTheme="majorBidi" w:cstheme="majorBidi"/>
        </w:rPr>
        <w:t>texte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consonantique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médiéval</w:t>
      </w:r>
      <w:proofErr w:type="spellEnd"/>
      <w:r w:rsidRPr="00ED0B9F">
        <w:rPr>
          <w:rFonts w:asciiTheme="majorBidi" w:hAnsiTheme="majorBidi" w:cstheme="majorBidi"/>
        </w:rPr>
        <w:t xml:space="preserve"> du TM, encore plus </w:t>
      </w:r>
      <w:proofErr w:type="spellStart"/>
      <w:r w:rsidRPr="00ED0B9F">
        <w:rPr>
          <w:rFonts w:asciiTheme="majorBidi" w:hAnsiTheme="majorBidi" w:cstheme="majorBidi"/>
        </w:rPr>
        <w:t>que</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ceus</w:t>
      </w:r>
      <w:proofErr w:type="spellEnd"/>
      <w:r w:rsidRPr="00ED0B9F">
        <w:rPr>
          <w:rFonts w:asciiTheme="majorBidi" w:hAnsiTheme="majorBidi" w:cstheme="majorBidi"/>
        </w:rPr>
        <w:t xml:space="preserve"> '</w:t>
      </w:r>
      <w:proofErr w:type="spellStart"/>
      <w:r w:rsidRPr="00ED0B9F">
        <w:rPr>
          <w:rFonts w:asciiTheme="majorBidi" w:hAnsiTheme="majorBidi" w:cstheme="majorBidi"/>
        </w:rPr>
        <w:t>protomassoretiques</w:t>
      </w:r>
      <w:proofErr w:type="spellEnd"/>
      <w:r w:rsidRPr="00ED0B9F">
        <w:rPr>
          <w:rFonts w:asciiTheme="majorBidi" w:hAnsiTheme="majorBidi" w:cstheme="majorBidi"/>
        </w:rPr>
        <w:t xml:space="preserve">' de </w:t>
      </w:r>
      <w:proofErr w:type="spellStart"/>
      <w:r w:rsidRPr="00ED0B9F">
        <w:rPr>
          <w:rFonts w:asciiTheme="majorBidi" w:hAnsiTheme="majorBidi" w:cstheme="majorBidi"/>
        </w:rPr>
        <w:t>Qoumran</w:t>
      </w:r>
      <w:proofErr w:type="spellEnd"/>
      <w:r w:rsidRPr="00ED0B9F">
        <w:rPr>
          <w:rFonts w:asciiTheme="majorBidi" w:hAnsiTheme="majorBidi" w:cstheme="majorBidi"/>
        </w:rPr>
        <w:t>" [</w:t>
      </w:r>
      <w:r w:rsidRPr="00ED0B9F">
        <w:rPr>
          <w:rFonts w:asciiTheme="majorBidi" w:hAnsiTheme="majorBidi" w:cstheme="majorBidi"/>
          <w:i/>
          <w:iCs/>
        </w:rPr>
        <w:t>= "</w:t>
      </w:r>
      <w:r w:rsidRPr="00ED0B9F">
        <w:rPr>
          <w:rStyle w:val="Emphasis"/>
          <w:rFonts w:asciiTheme="majorBidi" w:hAnsiTheme="majorBidi" w:cstheme="majorBidi"/>
          <w:i w:val="0"/>
          <w:iCs w:val="0"/>
        </w:rPr>
        <w:t>the texts of the three sites—</w:t>
      </w:r>
      <w:proofErr w:type="spellStart"/>
      <w:r w:rsidRPr="00ED0B9F">
        <w:rPr>
          <w:rStyle w:val="Emphasis"/>
          <w:rFonts w:asciiTheme="majorBidi" w:hAnsiTheme="majorBidi" w:cstheme="majorBidi"/>
          <w:i w:val="0"/>
          <w:iCs w:val="0"/>
        </w:rPr>
        <w:t>Nahal</w:t>
      </w:r>
      <w:proofErr w:type="spellEnd"/>
      <w:r w:rsidRPr="00ED0B9F">
        <w:rPr>
          <w:rStyle w:val="Emphasis"/>
          <w:rFonts w:asciiTheme="majorBidi" w:hAnsiTheme="majorBidi" w:cstheme="majorBidi"/>
          <w:i w:val="0"/>
          <w:iCs w:val="0"/>
        </w:rPr>
        <w:t xml:space="preserve"> </w:t>
      </w:r>
      <w:proofErr w:type="spellStart"/>
      <w:r w:rsidRPr="00ED0B9F">
        <w:rPr>
          <w:rStyle w:val="Emphasis"/>
          <w:rFonts w:asciiTheme="majorBidi" w:hAnsiTheme="majorBidi" w:cstheme="majorBidi"/>
          <w:i w:val="0"/>
          <w:iCs w:val="0"/>
        </w:rPr>
        <w:t>Hever</w:t>
      </w:r>
      <w:proofErr w:type="spellEnd"/>
      <w:r w:rsidRPr="00ED0B9F">
        <w:rPr>
          <w:rStyle w:val="Emphasis"/>
          <w:rFonts w:asciiTheme="majorBidi" w:hAnsiTheme="majorBidi" w:cstheme="majorBidi"/>
          <w:i w:val="0"/>
          <w:iCs w:val="0"/>
        </w:rPr>
        <w:t xml:space="preserve">, </w:t>
      </w:r>
      <w:proofErr w:type="spellStart"/>
      <w:r w:rsidRPr="00ED0B9F">
        <w:rPr>
          <w:rStyle w:val="Emphasis"/>
          <w:rFonts w:asciiTheme="majorBidi" w:hAnsiTheme="majorBidi" w:cstheme="majorBidi"/>
          <w:i w:val="0"/>
          <w:iCs w:val="0"/>
        </w:rPr>
        <w:t>Murabba'at</w:t>
      </w:r>
      <w:proofErr w:type="spellEnd"/>
      <w:r w:rsidRPr="00ED0B9F">
        <w:rPr>
          <w:rStyle w:val="Emphasis"/>
          <w:rFonts w:asciiTheme="majorBidi" w:hAnsiTheme="majorBidi" w:cstheme="majorBidi"/>
          <w:i w:val="0"/>
          <w:iCs w:val="0"/>
        </w:rPr>
        <w:t xml:space="preserve">, and Masada—are nearly identical to the consonantal medieval text of the </w:t>
      </w:r>
      <w:proofErr w:type="spellStart"/>
      <w:r w:rsidRPr="00ED0B9F">
        <w:rPr>
          <w:rStyle w:val="Emphasis"/>
          <w:rFonts w:asciiTheme="majorBidi" w:hAnsiTheme="majorBidi" w:cstheme="majorBidi"/>
          <w:i w:val="0"/>
          <w:iCs w:val="0"/>
        </w:rPr>
        <w:t>Masoretic</w:t>
      </w:r>
      <w:proofErr w:type="spellEnd"/>
      <w:r w:rsidRPr="00ED0B9F">
        <w:rPr>
          <w:rStyle w:val="Emphasis"/>
          <w:rFonts w:asciiTheme="majorBidi" w:hAnsiTheme="majorBidi" w:cstheme="majorBidi"/>
          <w:i w:val="0"/>
          <w:iCs w:val="0"/>
        </w:rPr>
        <w:t xml:space="preserve"> Text, more so than the '</w:t>
      </w:r>
      <w:proofErr w:type="spellStart"/>
      <w:r w:rsidRPr="00ED0B9F">
        <w:rPr>
          <w:rStyle w:val="Emphasis"/>
          <w:rFonts w:asciiTheme="majorBidi" w:hAnsiTheme="majorBidi" w:cstheme="majorBidi"/>
          <w:i w:val="0"/>
          <w:iCs w:val="0"/>
        </w:rPr>
        <w:t>protomasoretic</w:t>
      </w:r>
      <w:proofErr w:type="spellEnd"/>
      <w:r w:rsidRPr="00ED0B9F">
        <w:rPr>
          <w:rStyle w:val="Emphasis"/>
          <w:rFonts w:asciiTheme="majorBidi" w:hAnsiTheme="majorBidi" w:cstheme="majorBidi"/>
          <w:i w:val="0"/>
          <w:iCs w:val="0"/>
        </w:rPr>
        <w:t xml:space="preserve"> texts' of Qumran"</w:t>
      </w:r>
      <w:r w:rsidRPr="00ED0B9F">
        <w:rPr>
          <w:rFonts w:asciiTheme="majorBidi" w:hAnsiTheme="majorBidi" w:cstheme="majorBidi"/>
        </w:rPr>
        <w:t>], see "</w:t>
      </w:r>
      <w:proofErr w:type="spellStart"/>
      <w:r w:rsidRPr="00ED0B9F">
        <w:rPr>
          <w:rFonts w:asciiTheme="majorBidi" w:hAnsiTheme="majorBidi" w:cstheme="majorBidi"/>
        </w:rPr>
        <w:t>L'importance</w:t>
      </w:r>
      <w:proofErr w:type="spellEnd"/>
      <w:r w:rsidRPr="00ED0B9F">
        <w:rPr>
          <w:rFonts w:asciiTheme="majorBidi" w:hAnsiTheme="majorBidi" w:cstheme="majorBidi"/>
        </w:rPr>
        <w:t xml:space="preserve"> des </w:t>
      </w:r>
      <w:proofErr w:type="spellStart"/>
      <w:r w:rsidRPr="00ED0B9F">
        <w:rPr>
          <w:rFonts w:asciiTheme="majorBidi" w:hAnsiTheme="majorBidi" w:cstheme="majorBidi"/>
        </w:rPr>
        <w:t>textes</w:t>
      </w:r>
      <w:proofErr w:type="spellEnd"/>
      <w:r w:rsidRPr="00ED0B9F">
        <w:rPr>
          <w:rFonts w:asciiTheme="majorBidi" w:hAnsiTheme="majorBidi" w:cstheme="majorBidi"/>
        </w:rPr>
        <w:t xml:space="preserve"> du </w:t>
      </w:r>
      <w:proofErr w:type="spellStart"/>
      <w:r w:rsidRPr="00ED0B9F">
        <w:rPr>
          <w:rFonts w:asciiTheme="majorBidi" w:hAnsiTheme="majorBidi" w:cstheme="majorBidi"/>
        </w:rPr>
        <w:t>désert</w:t>
      </w:r>
      <w:proofErr w:type="spellEnd"/>
      <w:r w:rsidRPr="00ED0B9F">
        <w:rPr>
          <w:rFonts w:asciiTheme="majorBidi" w:hAnsiTheme="majorBidi" w:cstheme="majorBidi"/>
        </w:rPr>
        <w:t xml:space="preserve"> de </w:t>
      </w:r>
      <w:proofErr w:type="spellStart"/>
      <w:r w:rsidRPr="00ED0B9F">
        <w:rPr>
          <w:rFonts w:asciiTheme="majorBidi" w:hAnsiTheme="majorBidi" w:cstheme="majorBidi"/>
        </w:rPr>
        <w:t>Juda</w:t>
      </w:r>
      <w:proofErr w:type="spellEnd"/>
      <w:r w:rsidRPr="00ED0B9F">
        <w:rPr>
          <w:rFonts w:asciiTheme="majorBidi" w:hAnsiTheme="majorBidi" w:cstheme="majorBidi"/>
        </w:rPr>
        <w:t xml:space="preserve"> pour </w:t>
      </w:r>
      <w:proofErr w:type="spellStart"/>
      <w:r w:rsidRPr="00ED0B9F">
        <w:rPr>
          <w:rFonts w:asciiTheme="majorBidi" w:hAnsiTheme="majorBidi" w:cstheme="majorBidi"/>
        </w:rPr>
        <w:t>l'histoire</w:t>
      </w:r>
      <w:proofErr w:type="spellEnd"/>
      <w:r w:rsidRPr="00ED0B9F">
        <w:rPr>
          <w:rFonts w:asciiTheme="majorBidi" w:hAnsiTheme="majorBidi" w:cstheme="majorBidi"/>
        </w:rPr>
        <w:t xml:space="preserve"> du </w:t>
      </w:r>
      <w:proofErr w:type="spellStart"/>
      <w:r w:rsidRPr="00ED0B9F">
        <w:rPr>
          <w:rFonts w:asciiTheme="majorBidi" w:hAnsiTheme="majorBidi" w:cstheme="majorBidi"/>
        </w:rPr>
        <w:t>texte</w:t>
      </w:r>
      <w:proofErr w:type="spellEnd"/>
      <w:r w:rsidRPr="00ED0B9F">
        <w:rPr>
          <w:rFonts w:asciiTheme="majorBidi" w:hAnsiTheme="majorBidi" w:cstheme="majorBidi"/>
        </w:rPr>
        <w:t xml:space="preserve"> de la Bible </w:t>
      </w:r>
      <w:proofErr w:type="spellStart"/>
      <w:r w:rsidRPr="00ED0B9F">
        <w:rPr>
          <w:rFonts w:asciiTheme="majorBidi" w:hAnsiTheme="majorBidi" w:cstheme="majorBidi"/>
        </w:rPr>
        <w:t>hébraïque</w:t>
      </w:r>
      <w:proofErr w:type="spellEnd"/>
      <w:r w:rsidRPr="00ED0B9F">
        <w:rPr>
          <w:rFonts w:asciiTheme="majorBidi" w:hAnsiTheme="majorBidi" w:cstheme="majorBidi"/>
        </w:rPr>
        <w:t xml:space="preserve">. </w:t>
      </w:r>
      <w:proofErr w:type="spellStart"/>
      <w:proofErr w:type="gramStart"/>
      <w:r w:rsidRPr="00ED0B9F">
        <w:rPr>
          <w:rFonts w:asciiTheme="majorBidi" w:hAnsiTheme="majorBidi" w:cstheme="majorBidi"/>
        </w:rPr>
        <w:t>Une</w:t>
      </w:r>
      <w:proofErr w:type="spellEnd"/>
      <w:r w:rsidRPr="00ED0B9F">
        <w:rPr>
          <w:rFonts w:asciiTheme="majorBidi" w:hAnsiTheme="majorBidi" w:cstheme="majorBidi"/>
        </w:rPr>
        <w:t xml:space="preserve"> nouvelle </w:t>
      </w:r>
      <w:proofErr w:type="spellStart"/>
      <w:r w:rsidRPr="00ED0B9F">
        <w:rPr>
          <w:rFonts w:asciiTheme="majorBidi" w:hAnsiTheme="majorBidi" w:cstheme="majorBidi"/>
        </w:rPr>
        <w:t>synthèse</w:t>
      </w:r>
      <w:proofErr w:type="spellEnd"/>
      <w:r w:rsidRPr="00ED0B9F">
        <w:rPr>
          <w:rFonts w:asciiTheme="majorBidi" w:hAnsiTheme="majorBidi" w:cstheme="majorBidi"/>
        </w:rPr>
        <w:t>."</w:t>
      </w:r>
      <w:proofErr w:type="gramEnd"/>
      <w:r w:rsidRPr="00ED0B9F">
        <w:rPr>
          <w:rFonts w:asciiTheme="majorBidi" w:hAnsiTheme="majorBidi" w:cstheme="majorBidi"/>
        </w:rPr>
        <w:t xml:space="preserve"> In: E.-M. </w:t>
      </w:r>
      <w:proofErr w:type="spellStart"/>
      <w:r w:rsidRPr="00ED0B9F">
        <w:rPr>
          <w:rFonts w:asciiTheme="majorBidi" w:hAnsiTheme="majorBidi" w:cstheme="majorBidi"/>
        </w:rPr>
        <w:t>Laperrousaz</w:t>
      </w:r>
      <w:proofErr w:type="spellEnd"/>
      <w:r w:rsidRPr="00ED0B9F">
        <w:rPr>
          <w:rFonts w:asciiTheme="majorBidi" w:hAnsiTheme="majorBidi" w:cstheme="majorBidi"/>
        </w:rPr>
        <w:t xml:space="preserve"> (ed.), </w:t>
      </w:r>
      <w:proofErr w:type="spellStart"/>
      <w:r w:rsidRPr="00ED0B9F">
        <w:rPr>
          <w:rStyle w:val="Emphasis"/>
          <w:rFonts w:asciiTheme="majorBidi" w:hAnsiTheme="majorBidi" w:cstheme="majorBidi"/>
        </w:rPr>
        <w:t>Qoumrân</w:t>
      </w:r>
      <w:proofErr w:type="spellEnd"/>
      <w:r w:rsidRPr="00ED0B9F">
        <w:rPr>
          <w:rStyle w:val="Emphasis"/>
          <w:rFonts w:asciiTheme="majorBidi" w:hAnsiTheme="majorBidi" w:cstheme="majorBidi"/>
        </w:rPr>
        <w:t xml:space="preserve"> </w:t>
      </w:r>
      <w:proofErr w:type="gramStart"/>
      <w:r w:rsidRPr="00ED0B9F">
        <w:rPr>
          <w:rStyle w:val="Emphasis"/>
          <w:rFonts w:asciiTheme="majorBidi" w:hAnsiTheme="majorBidi" w:cstheme="majorBidi"/>
        </w:rPr>
        <w:t>et</w:t>
      </w:r>
      <w:proofErr w:type="gramEnd"/>
      <w:r w:rsidRPr="00ED0B9F">
        <w:rPr>
          <w:rStyle w:val="Emphasis"/>
          <w:rFonts w:asciiTheme="majorBidi" w:hAnsiTheme="majorBidi" w:cstheme="majorBidi"/>
        </w:rPr>
        <w:t xml:space="preserve"> les </w:t>
      </w:r>
      <w:proofErr w:type="spellStart"/>
      <w:r w:rsidRPr="00ED0B9F">
        <w:rPr>
          <w:rStyle w:val="Emphasis"/>
          <w:rFonts w:asciiTheme="majorBidi" w:hAnsiTheme="majorBidi" w:cstheme="majorBidi"/>
        </w:rPr>
        <w:t>manuscrits</w:t>
      </w:r>
      <w:proofErr w:type="spellEnd"/>
      <w:r w:rsidRPr="00ED0B9F">
        <w:rPr>
          <w:rStyle w:val="Emphasis"/>
          <w:rFonts w:asciiTheme="majorBidi" w:hAnsiTheme="majorBidi" w:cstheme="majorBidi"/>
        </w:rPr>
        <w:t xml:space="preserve"> de la </w:t>
      </w:r>
      <w:proofErr w:type="spellStart"/>
      <w:r w:rsidRPr="00ED0B9F">
        <w:rPr>
          <w:rStyle w:val="Emphasis"/>
          <w:rFonts w:asciiTheme="majorBidi" w:hAnsiTheme="majorBidi" w:cstheme="majorBidi"/>
        </w:rPr>
        <w:t>Mer</w:t>
      </w:r>
      <w:proofErr w:type="spellEnd"/>
      <w:r w:rsidRPr="00ED0B9F">
        <w:rPr>
          <w:rStyle w:val="Emphasis"/>
          <w:rFonts w:asciiTheme="majorBidi" w:hAnsiTheme="majorBidi" w:cstheme="majorBidi"/>
        </w:rPr>
        <w:t xml:space="preserve"> </w:t>
      </w:r>
      <w:proofErr w:type="spellStart"/>
      <w:r w:rsidRPr="00ED0B9F">
        <w:rPr>
          <w:rStyle w:val="Emphasis"/>
          <w:rFonts w:asciiTheme="majorBidi" w:hAnsiTheme="majorBidi" w:cstheme="majorBidi"/>
        </w:rPr>
        <w:t>Morte</w:t>
      </w:r>
      <w:proofErr w:type="spellEnd"/>
      <w:r w:rsidRPr="00ED0B9F">
        <w:rPr>
          <w:rStyle w:val="Emphasis"/>
          <w:rFonts w:asciiTheme="majorBidi" w:hAnsiTheme="majorBidi" w:cstheme="majorBidi"/>
        </w:rPr>
        <w:t xml:space="preserve"> </w:t>
      </w:r>
      <w:r w:rsidRPr="00ED0B9F">
        <w:rPr>
          <w:rFonts w:asciiTheme="majorBidi" w:hAnsiTheme="majorBidi" w:cstheme="majorBidi"/>
        </w:rPr>
        <w:t>(Paris: Les Editions du Cerf, 2000): 210.</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1942532"/>
      <w:docPartObj>
        <w:docPartGallery w:val="Page Numbers (Top of Page)"/>
        <w:docPartUnique/>
      </w:docPartObj>
    </w:sdtPr>
    <w:sdtContent>
      <w:p w:rsidR="00444F86" w:rsidRDefault="00F70321">
        <w:pPr>
          <w:pStyle w:val="Header"/>
          <w:jc w:val="center"/>
        </w:pPr>
        <w:fldSimple w:instr=" PAGE   \* MERGEFORMAT ">
          <w:r w:rsidR="00C63F2E">
            <w:rPr>
              <w:noProof/>
            </w:rPr>
            <w:t>14</w:t>
          </w:r>
        </w:fldSimple>
      </w:p>
    </w:sdtContent>
  </w:sdt>
  <w:p w:rsidR="00444F86" w:rsidRDefault="00444F86">
    <w:pPr>
      <w:pStyle w:val="Header"/>
    </w:pPr>
  </w:p>
  <w:p w:rsidR="00444F86" w:rsidRDefault="00444F86">
    <w:pPr>
      <w:pStyle w:val="Header"/>
    </w:pPr>
  </w:p>
  <w:p w:rsidR="00444F86" w:rsidRDefault="00444F86">
    <w:pPr>
      <w:pStyle w:val="Header"/>
    </w:pPr>
  </w:p>
  <w:p w:rsidR="00444F86" w:rsidRDefault="00444F8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7C29A0"/>
    <w:rsid w:val="00053AE5"/>
    <w:rsid w:val="000D4087"/>
    <w:rsid w:val="00107C98"/>
    <w:rsid w:val="00166F4A"/>
    <w:rsid w:val="002552A2"/>
    <w:rsid w:val="002F4438"/>
    <w:rsid w:val="003052CC"/>
    <w:rsid w:val="00330D3F"/>
    <w:rsid w:val="003355CC"/>
    <w:rsid w:val="00370A89"/>
    <w:rsid w:val="00397F54"/>
    <w:rsid w:val="00444F86"/>
    <w:rsid w:val="0046343E"/>
    <w:rsid w:val="00493017"/>
    <w:rsid w:val="004A25B6"/>
    <w:rsid w:val="004D12FB"/>
    <w:rsid w:val="00562E16"/>
    <w:rsid w:val="00571412"/>
    <w:rsid w:val="005A2475"/>
    <w:rsid w:val="006377C3"/>
    <w:rsid w:val="006A21E6"/>
    <w:rsid w:val="00774D0F"/>
    <w:rsid w:val="007773A0"/>
    <w:rsid w:val="007C29A0"/>
    <w:rsid w:val="00810E93"/>
    <w:rsid w:val="00832C3C"/>
    <w:rsid w:val="00983263"/>
    <w:rsid w:val="009B20DB"/>
    <w:rsid w:val="00A12866"/>
    <w:rsid w:val="00A3708B"/>
    <w:rsid w:val="00A46D4D"/>
    <w:rsid w:val="00A83CCA"/>
    <w:rsid w:val="00B446C8"/>
    <w:rsid w:val="00B57BF3"/>
    <w:rsid w:val="00B73A66"/>
    <w:rsid w:val="00C63F2E"/>
    <w:rsid w:val="00D060CF"/>
    <w:rsid w:val="00D56C07"/>
    <w:rsid w:val="00E25FF2"/>
    <w:rsid w:val="00E91D92"/>
    <w:rsid w:val="00E93D00"/>
    <w:rsid w:val="00EB29C7"/>
    <w:rsid w:val="00ED0B9F"/>
    <w:rsid w:val="00ED3AED"/>
    <w:rsid w:val="00EF3108"/>
    <w:rsid w:val="00F24BA3"/>
    <w:rsid w:val="00F70321"/>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0C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C29A0"/>
    <w:pPr>
      <w:spacing w:before="100" w:beforeAutospacing="1" w:after="100" w:afterAutospacing="1" w:line="240" w:lineRule="auto"/>
    </w:pPr>
    <w:rPr>
      <w:rFonts w:ascii="Times New Roman" w:eastAsia="Times New Roman" w:hAnsi="Times New Roman" w:cs="Times New Roman"/>
      <w:sz w:val="24"/>
      <w:szCs w:val="24"/>
      <w:lang w:bidi="he-IL"/>
    </w:rPr>
  </w:style>
  <w:style w:type="character" w:styleId="Emphasis">
    <w:name w:val="Emphasis"/>
    <w:basedOn w:val="DefaultParagraphFont"/>
    <w:uiPriority w:val="20"/>
    <w:qFormat/>
    <w:rsid w:val="007C29A0"/>
    <w:rPr>
      <w:i/>
      <w:iCs/>
    </w:rPr>
  </w:style>
  <w:style w:type="paragraph" w:styleId="FootnoteText">
    <w:name w:val="footnote text"/>
    <w:basedOn w:val="Normal"/>
    <w:link w:val="FootnoteTextChar"/>
    <w:uiPriority w:val="99"/>
    <w:semiHidden/>
    <w:unhideWhenUsed/>
    <w:rsid w:val="003052C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052CC"/>
    <w:rPr>
      <w:sz w:val="20"/>
      <w:szCs w:val="20"/>
    </w:rPr>
  </w:style>
  <w:style w:type="character" w:styleId="FootnoteReference">
    <w:name w:val="footnote reference"/>
    <w:basedOn w:val="DefaultParagraphFont"/>
    <w:uiPriority w:val="99"/>
    <w:semiHidden/>
    <w:unhideWhenUsed/>
    <w:rsid w:val="003052CC"/>
    <w:rPr>
      <w:vertAlign w:val="superscript"/>
    </w:rPr>
  </w:style>
  <w:style w:type="table" w:styleId="TableGrid">
    <w:name w:val="Table Grid"/>
    <w:basedOn w:val="TableNormal"/>
    <w:uiPriority w:val="59"/>
    <w:rsid w:val="00E93D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D0B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0B9F"/>
  </w:style>
  <w:style w:type="paragraph" w:styleId="Footer">
    <w:name w:val="footer"/>
    <w:basedOn w:val="Normal"/>
    <w:link w:val="FooterChar"/>
    <w:uiPriority w:val="99"/>
    <w:semiHidden/>
    <w:unhideWhenUsed/>
    <w:rsid w:val="00ED0B9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D0B9F"/>
  </w:style>
</w:styles>
</file>

<file path=word/webSettings.xml><?xml version="1.0" encoding="utf-8"?>
<w:webSettings xmlns:r="http://schemas.openxmlformats.org/officeDocument/2006/relationships" xmlns:w="http://schemas.openxmlformats.org/wordprocessingml/2006/main">
  <w:divs>
    <w:div w:id="1412580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9A71D7-FA6D-4298-9EA8-EBF2B11D81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455</TotalTime>
  <Pages>14</Pages>
  <Words>4826</Words>
  <Characters>27510</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Gregory</dc:creator>
  <cp:lastModifiedBy>Gregory</cp:lastModifiedBy>
  <cp:revision>15</cp:revision>
  <cp:lastPrinted>2011-10-10T04:58:00Z</cp:lastPrinted>
  <dcterms:created xsi:type="dcterms:W3CDTF">2011-10-10T00:18:00Z</dcterms:created>
  <dcterms:modified xsi:type="dcterms:W3CDTF">2011-10-10T09:05:00Z</dcterms:modified>
</cp:coreProperties>
</file>